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F5" w:rsidRDefault="008B0BF5" w:rsidP="008B0BF5">
      <w:pPr>
        <w:rPr>
          <w:rFonts w:ascii="Cambria" w:hAnsi="Cambria"/>
          <w:b/>
          <w:sz w:val="24"/>
          <w:lang w:val="en-GB"/>
        </w:rPr>
      </w:pPr>
      <w:r>
        <w:rPr>
          <w:rFonts w:ascii="Cambria" w:hAnsi="Cambria"/>
          <w:b/>
          <w:noProof/>
          <w:sz w:val="24"/>
          <w:lang w:eastAsia="ro-RO"/>
        </w:rPr>
        <w:drawing>
          <wp:inline distT="0" distB="0" distL="0" distR="0">
            <wp:extent cx="5760720" cy="98704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BF5" w:rsidRDefault="008B0BF5" w:rsidP="0084651C">
      <w:pPr>
        <w:jc w:val="center"/>
        <w:rPr>
          <w:rFonts w:ascii="Cambria" w:hAnsi="Cambria"/>
          <w:b/>
          <w:sz w:val="24"/>
          <w:lang w:val="en-GB"/>
        </w:rPr>
      </w:pPr>
    </w:p>
    <w:p w:rsidR="008B0BF5" w:rsidRDefault="008B0BF5" w:rsidP="0084651C">
      <w:pPr>
        <w:jc w:val="center"/>
        <w:rPr>
          <w:rFonts w:ascii="Cambria" w:hAnsi="Cambria"/>
          <w:b/>
          <w:sz w:val="24"/>
          <w:lang w:val="en-GB"/>
        </w:rPr>
      </w:pPr>
    </w:p>
    <w:p w:rsidR="0084651C" w:rsidRDefault="008B0BF5" w:rsidP="008B0BF5">
      <w:pPr>
        <w:jc w:val="center"/>
        <w:rPr>
          <w:rFonts w:ascii="Cambria" w:hAnsi="Cambria"/>
          <w:b/>
          <w:sz w:val="24"/>
          <w:lang w:val="en-GB"/>
        </w:rPr>
      </w:pPr>
      <w:r w:rsidRPr="008B0BF5">
        <w:rPr>
          <w:rFonts w:ascii="Cambria" w:hAnsi="Cambria"/>
          <w:b/>
          <w:sz w:val="24"/>
          <w:lang w:val="en-GB"/>
        </w:rPr>
        <w:t>Follow up to the 2016 World Humanitarian Summit</w:t>
      </w:r>
    </w:p>
    <w:p w:rsidR="008B0BF5" w:rsidRPr="008B0BF5" w:rsidRDefault="008B0BF5" w:rsidP="008B0BF5">
      <w:pPr>
        <w:jc w:val="center"/>
        <w:rPr>
          <w:rFonts w:ascii="Cambria" w:hAnsi="Cambria"/>
          <w:b/>
          <w:sz w:val="24"/>
          <w:lang w:val="en-GB"/>
        </w:rPr>
      </w:pPr>
    </w:p>
    <w:p w:rsidR="00774550" w:rsidRPr="00EB5213" w:rsidRDefault="00774550" w:rsidP="00E72D32">
      <w:pPr>
        <w:spacing w:after="120"/>
        <w:jc w:val="both"/>
        <w:rPr>
          <w:rFonts w:ascii="Cambria" w:hAnsi="Cambria"/>
          <w:sz w:val="24"/>
          <w:lang w:val="en-GB"/>
        </w:rPr>
      </w:pPr>
      <w:r w:rsidRPr="008B0BF5">
        <w:rPr>
          <w:rFonts w:ascii="Cambria" w:hAnsi="Cambria"/>
          <w:b/>
          <w:sz w:val="24"/>
          <w:lang w:val="en-GB"/>
        </w:rPr>
        <w:t>The Ministry of National Education of Romania</w:t>
      </w:r>
      <w:r w:rsidRPr="00EB5213">
        <w:rPr>
          <w:rFonts w:ascii="Cambria" w:hAnsi="Cambria"/>
          <w:sz w:val="24"/>
          <w:lang w:val="en-GB"/>
        </w:rPr>
        <w:t xml:space="preserve"> supports </w:t>
      </w:r>
      <w:r w:rsidR="00F14BF6" w:rsidRPr="00EB5213">
        <w:rPr>
          <w:rFonts w:ascii="Cambria" w:hAnsi="Cambria"/>
          <w:sz w:val="24"/>
          <w:lang w:val="en-GB"/>
        </w:rPr>
        <w:t xml:space="preserve">the process of integration of </w:t>
      </w:r>
      <w:r w:rsidR="00E72D32">
        <w:rPr>
          <w:rFonts w:ascii="Cambria" w:hAnsi="Cambria"/>
          <w:sz w:val="24"/>
          <w:lang w:val="en-GB"/>
        </w:rPr>
        <w:t xml:space="preserve">the </w:t>
      </w:r>
      <w:r w:rsidR="00F14BF6" w:rsidRPr="00EB5213">
        <w:rPr>
          <w:rFonts w:ascii="Cambria" w:hAnsi="Cambria"/>
          <w:sz w:val="24"/>
          <w:lang w:val="en-GB"/>
        </w:rPr>
        <w:t xml:space="preserve">children and youth </w:t>
      </w:r>
      <w:r w:rsidR="00AB1D45" w:rsidRPr="00EB5213">
        <w:rPr>
          <w:rFonts w:ascii="Cambria" w:hAnsi="Cambria"/>
          <w:sz w:val="24"/>
          <w:lang w:val="en-GB"/>
        </w:rPr>
        <w:t>that have obtained a form of international protection or the right to reside in Romania</w:t>
      </w:r>
      <w:r w:rsidR="00E72D32">
        <w:rPr>
          <w:rFonts w:ascii="Cambria" w:hAnsi="Cambria"/>
          <w:sz w:val="24"/>
          <w:lang w:val="en-GB"/>
        </w:rPr>
        <w:t>,</w:t>
      </w:r>
      <w:r w:rsidR="00AB1D45" w:rsidRPr="00EB5213">
        <w:rPr>
          <w:rFonts w:ascii="Cambria" w:hAnsi="Cambria"/>
          <w:sz w:val="24"/>
          <w:lang w:val="en-GB"/>
        </w:rPr>
        <w:t xml:space="preserve"> </w:t>
      </w:r>
      <w:r w:rsidRPr="00EB5213">
        <w:rPr>
          <w:rFonts w:ascii="Cambria" w:hAnsi="Cambria"/>
          <w:sz w:val="24"/>
          <w:lang w:val="en-GB"/>
        </w:rPr>
        <w:t>through the following means</w:t>
      </w:r>
      <w:r w:rsidR="00AB1D45" w:rsidRPr="00EB5213">
        <w:rPr>
          <w:rFonts w:ascii="Cambria" w:hAnsi="Cambria"/>
          <w:sz w:val="24"/>
          <w:lang w:val="en-GB"/>
        </w:rPr>
        <w:t>:</w:t>
      </w:r>
    </w:p>
    <w:p w:rsidR="00AC00F6" w:rsidRPr="00EB5213" w:rsidRDefault="00AC00F6" w:rsidP="00262707">
      <w:pPr>
        <w:spacing w:after="120"/>
        <w:rPr>
          <w:rFonts w:ascii="Cambria" w:hAnsi="Cambria"/>
          <w:b/>
          <w:sz w:val="24"/>
          <w:lang w:val="en-GB"/>
        </w:rPr>
      </w:pPr>
      <w:r w:rsidRPr="00EB5213">
        <w:rPr>
          <w:rFonts w:ascii="Cambria" w:hAnsi="Cambria"/>
          <w:b/>
          <w:sz w:val="24"/>
          <w:lang w:val="en-GB"/>
        </w:rPr>
        <w:t>1. The provision of Romanian language courses for beginners</w:t>
      </w:r>
    </w:p>
    <w:p w:rsidR="008F733C" w:rsidRPr="00EB5213" w:rsidRDefault="008F733C" w:rsidP="008E11A5">
      <w:pPr>
        <w:spacing w:after="120"/>
        <w:jc w:val="both"/>
        <w:rPr>
          <w:rFonts w:ascii="Cambria" w:hAnsi="Cambria"/>
          <w:sz w:val="24"/>
          <w:lang w:val="en-GB"/>
        </w:rPr>
      </w:pPr>
      <w:r w:rsidRPr="00EB5213">
        <w:rPr>
          <w:rFonts w:ascii="Cambria" w:hAnsi="Cambria"/>
          <w:sz w:val="24"/>
          <w:lang w:val="en-GB"/>
        </w:rPr>
        <w:t xml:space="preserve">The </w:t>
      </w:r>
      <w:r w:rsidR="00831A78" w:rsidRPr="00EB5213">
        <w:rPr>
          <w:rFonts w:ascii="Cambria" w:hAnsi="Cambria"/>
          <w:sz w:val="24"/>
          <w:lang w:val="en-GB"/>
        </w:rPr>
        <w:t>foreign</w:t>
      </w:r>
      <w:r w:rsidRPr="00EB5213">
        <w:rPr>
          <w:rFonts w:ascii="Cambria" w:hAnsi="Cambria"/>
          <w:sz w:val="24"/>
          <w:lang w:val="en-GB"/>
        </w:rPr>
        <w:t xml:space="preserve"> families that have obtained a form of international protection</w:t>
      </w:r>
      <w:r w:rsidR="00831A78" w:rsidRPr="00EB5213">
        <w:rPr>
          <w:rFonts w:ascii="Cambria" w:hAnsi="Cambria"/>
          <w:sz w:val="24"/>
          <w:lang w:val="en-GB"/>
        </w:rPr>
        <w:t xml:space="preserve"> in Romania and who</w:t>
      </w:r>
      <w:r w:rsidRPr="00EB5213">
        <w:rPr>
          <w:rFonts w:ascii="Cambria" w:hAnsi="Cambria"/>
          <w:sz w:val="24"/>
          <w:lang w:val="en-GB"/>
        </w:rPr>
        <w:t xml:space="preserve"> have children aged below 18 years old or who are</w:t>
      </w:r>
      <w:r w:rsidR="00F103A3" w:rsidRPr="00EB5213">
        <w:rPr>
          <w:rFonts w:ascii="Cambria" w:hAnsi="Cambria"/>
          <w:sz w:val="24"/>
          <w:lang w:val="en-GB"/>
        </w:rPr>
        <w:t xml:space="preserve"> above this age </w:t>
      </w:r>
      <w:r w:rsidR="00831A78" w:rsidRPr="00EB5213">
        <w:rPr>
          <w:rFonts w:ascii="Cambria" w:hAnsi="Cambria"/>
          <w:sz w:val="24"/>
          <w:lang w:val="en-GB"/>
        </w:rPr>
        <w:t>threshold</w:t>
      </w:r>
      <w:r w:rsidR="00F103A3" w:rsidRPr="00EB5213">
        <w:rPr>
          <w:rFonts w:ascii="Cambria" w:hAnsi="Cambria"/>
          <w:sz w:val="24"/>
          <w:lang w:val="en-GB"/>
        </w:rPr>
        <w:t xml:space="preserve">, but who have not completed their school education, have the right to request to the school inspectorates </w:t>
      </w:r>
      <w:r w:rsidR="00EA06A1" w:rsidRPr="00EB5213">
        <w:rPr>
          <w:rFonts w:ascii="Cambria" w:hAnsi="Cambria"/>
          <w:sz w:val="24"/>
          <w:lang w:val="en-GB"/>
        </w:rPr>
        <w:t xml:space="preserve">the enrolment of their children in the pre-university school system. </w:t>
      </w:r>
      <w:r w:rsidR="00831A78" w:rsidRPr="00EB5213">
        <w:rPr>
          <w:rFonts w:ascii="Cambria" w:hAnsi="Cambria"/>
          <w:sz w:val="24"/>
          <w:lang w:val="en-GB"/>
        </w:rPr>
        <w:t>In view</w:t>
      </w:r>
      <w:r w:rsidR="00EA06A1" w:rsidRPr="00EB5213">
        <w:rPr>
          <w:rFonts w:ascii="Cambria" w:hAnsi="Cambria"/>
          <w:sz w:val="24"/>
          <w:lang w:val="en-GB"/>
        </w:rPr>
        <w:t xml:space="preserve"> of school </w:t>
      </w:r>
      <w:bookmarkStart w:id="0" w:name="_GoBack"/>
      <w:bookmarkEnd w:id="0"/>
      <w:r w:rsidR="00EA06A1" w:rsidRPr="00EB5213">
        <w:rPr>
          <w:rFonts w:ascii="Cambria" w:hAnsi="Cambria"/>
          <w:sz w:val="24"/>
          <w:lang w:val="en-GB"/>
        </w:rPr>
        <w:t>enrolment, these categories of children benefit</w:t>
      </w:r>
      <w:r w:rsidR="00831A78" w:rsidRPr="00EB5213">
        <w:rPr>
          <w:rFonts w:ascii="Cambria" w:hAnsi="Cambria"/>
          <w:sz w:val="24"/>
          <w:lang w:val="en-GB"/>
        </w:rPr>
        <w:t xml:space="preserve"> from free </w:t>
      </w:r>
      <w:r w:rsidR="004E7F69" w:rsidRPr="00EB5213">
        <w:rPr>
          <w:rFonts w:ascii="Cambria" w:hAnsi="Cambria"/>
          <w:sz w:val="24"/>
          <w:lang w:val="en-GB"/>
        </w:rPr>
        <w:t>Romanian</w:t>
      </w:r>
      <w:r w:rsidR="00831A78" w:rsidRPr="00EB5213">
        <w:rPr>
          <w:rFonts w:ascii="Cambria" w:hAnsi="Cambria"/>
          <w:sz w:val="24"/>
          <w:lang w:val="en-GB"/>
        </w:rPr>
        <w:t xml:space="preserve"> language courses for beginners. These courses are organized by </w:t>
      </w:r>
      <w:r w:rsidR="004E7F69" w:rsidRPr="00EB5213">
        <w:rPr>
          <w:rFonts w:ascii="Cambria" w:hAnsi="Cambria"/>
          <w:sz w:val="24"/>
          <w:lang w:val="en-GB"/>
        </w:rPr>
        <w:t>the</w:t>
      </w:r>
      <w:r w:rsidR="00831A78" w:rsidRPr="00EB5213">
        <w:rPr>
          <w:rFonts w:ascii="Cambria" w:hAnsi="Cambria"/>
          <w:sz w:val="24"/>
          <w:lang w:val="en-GB"/>
        </w:rPr>
        <w:t xml:space="preserve"> Ministry of Education through the network of school inspectorates. </w:t>
      </w:r>
    </w:p>
    <w:p w:rsidR="00B50F66" w:rsidRPr="00EB5213" w:rsidRDefault="004E7F69" w:rsidP="008E11A5">
      <w:pPr>
        <w:spacing w:after="60"/>
        <w:jc w:val="both"/>
        <w:rPr>
          <w:rFonts w:ascii="Cambria" w:hAnsi="Cambria"/>
          <w:sz w:val="24"/>
          <w:lang w:val="en-GB"/>
        </w:rPr>
      </w:pPr>
      <w:r w:rsidRPr="00EB5213">
        <w:rPr>
          <w:rFonts w:ascii="Cambria" w:hAnsi="Cambria"/>
          <w:sz w:val="24"/>
          <w:lang w:val="en-GB"/>
        </w:rPr>
        <w:t xml:space="preserve">The same methodology applies to the </w:t>
      </w:r>
      <w:r w:rsidR="00B50F66" w:rsidRPr="00EB5213">
        <w:rPr>
          <w:rFonts w:ascii="Cambria" w:hAnsi="Cambria"/>
          <w:sz w:val="24"/>
          <w:lang w:val="en-GB"/>
        </w:rPr>
        <w:t xml:space="preserve">accompanied </w:t>
      </w:r>
      <w:r w:rsidRPr="00EB5213">
        <w:rPr>
          <w:rFonts w:ascii="Cambria" w:hAnsi="Cambria"/>
          <w:sz w:val="24"/>
          <w:lang w:val="en-GB"/>
        </w:rPr>
        <w:t xml:space="preserve">minor children form </w:t>
      </w:r>
      <w:r w:rsidR="0042245C" w:rsidRPr="00EB5213">
        <w:rPr>
          <w:rFonts w:ascii="Cambria" w:hAnsi="Cambria"/>
          <w:sz w:val="24"/>
          <w:lang w:val="en-GB"/>
        </w:rPr>
        <w:t>third states who</w:t>
      </w:r>
      <w:r w:rsidR="008E11A5" w:rsidRPr="00EB5213">
        <w:rPr>
          <w:rFonts w:ascii="Cambria" w:hAnsi="Cambria"/>
          <w:sz w:val="24"/>
          <w:lang w:val="en-GB"/>
        </w:rPr>
        <w:t xml:space="preserve"> have</w:t>
      </w:r>
      <w:r w:rsidR="0042245C" w:rsidRPr="00EB5213">
        <w:rPr>
          <w:rFonts w:ascii="Cambria" w:hAnsi="Cambria"/>
          <w:sz w:val="24"/>
          <w:lang w:val="en-GB"/>
        </w:rPr>
        <w:t xml:space="preserve"> obtained a form of international protection</w:t>
      </w:r>
      <w:r w:rsidR="00EB5213">
        <w:rPr>
          <w:rFonts w:ascii="Cambria" w:hAnsi="Cambria"/>
          <w:sz w:val="24"/>
          <w:lang w:val="en-GB"/>
        </w:rPr>
        <w:t xml:space="preserve"> or</w:t>
      </w:r>
      <w:r w:rsidR="0042245C" w:rsidRPr="00EB5213">
        <w:rPr>
          <w:rFonts w:ascii="Cambria" w:hAnsi="Cambria"/>
          <w:sz w:val="24"/>
          <w:lang w:val="en-GB"/>
        </w:rPr>
        <w:t xml:space="preserve"> the right of residence or who have </w:t>
      </w:r>
      <w:r w:rsidR="00606F7B">
        <w:rPr>
          <w:rFonts w:ascii="Cambria" w:hAnsi="Cambria"/>
          <w:sz w:val="24"/>
          <w:lang w:val="en-GB"/>
        </w:rPr>
        <w:t>requested such</w:t>
      </w:r>
      <w:r w:rsidR="008E11A5" w:rsidRPr="00EB5213">
        <w:rPr>
          <w:rFonts w:ascii="Cambria" w:hAnsi="Cambria"/>
          <w:sz w:val="24"/>
          <w:lang w:val="en-GB"/>
        </w:rPr>
        <w:t xml:space="preserve"> right in Romania. </w:t>
      </w:r>
    </w:p>
    <w:p w:rsidR="00262707" w:rsidRPr="00EB5213" w:rsidRDefault="008E11A5" w:rsidP="00E64CD2">
      <w:pPr>
        <w:spacing w:after="60"/>
        <w:jc w:val="both"/>
        <w:rPr>
          <w:rFonts w:ascii="Cambria" w:hAnsi="Cambria" w:cs="Times New Roman"/>
          <w:sz w:val="24"/>
          <w:szCs w:val="24"/>
          <w:lang w:val="en-GB"/>
        </w:rPr>
      </w:pPr>
      <w:r w:rsidRPr="00EB5213">
        <w:rPr>
          <w:rFonts w:ascii="Cambria" w:hAnsi="Cambria"/>
          <w:sz w:val="24"/>
          <w:lang w:val="en-GB"/>
        </w:rPr>
        <w:t xml:space="preserve">The language courses can be organized </w:t>
      </w:r>
      <w:r w:rsidR="006D36EB">
        <w:rPr>
          <w:rFonts w:ascii="Cambria" w:hAnsi="Cambria"/>
          <w:sz w:val="24"/>
          <w:lang w:val="en-GB"/>
        </w:rPr>
        <w:t>for</w:t>
      </w:r>
      <w:r w:rsidRPr="00EB5213">
        <w:rPr>
          <w:rFonts w:ascii="Cambria" w:hAnsi="Cambria"/>
          <w:sz w:val="24"/>
          <w:lang w:val="en-GB"/>
        </w:rPr>
        <w:t xml:space="preserve"> three age groups </w:t>
      </w:r>
      <w:r w:rsidR="00C362E8" w:rsidRPr="00EB5213">
        <w:rPr>
          <w:rFonts w:ascii="Cambria" w:hAnsi="Cambria"/>
          <w:sz w:val="24"/>
          <w:lang w:val="en-GB"/>
        </w:rPr>
        <w:t>(</w:t>
      </w:r>
      <w:r w:rsidR="004E331D" w:rsidRPr="00EB5213">
        <w:rPr>
          <w:rFonts w:ascii="Cambria" w:hAnsi="Cambria" w:cs="Times New Roman"/>
          <w:sz w:val="24"/>
          <w:szCs w:val="24"/>
          <w:lang w:val="en-GB"/>
        </w:rPr>
        <w:t>6-10, 11-14</w:t>
      </w:r>
      <w:r w:rsidR="00C362E8" w:rsidRPr="00EB5213">
        <w:rPr>
          <w:rFonts w:ascii="Cambria" w:hAnsi="Cambria" w:cs="Times New Roman"/>
          <w:sz w:val="24"/>
          <w:szCs w:val="24"/>
          <w:lang w:val="en-GB"/>
        </w:rPr>
        <w:t xml:space="preserve"> </w:t>
      </w:r>
      <w:r w:rsidR="004E331D" w:rsidRPr="00EB5213">
        <w:rPr>
          <w:rFonts w:ascii="Cambria" w:hAnsi="Cambria" w:cs="Times New Roman"/>
          <w:sz w:val="24"/>
          <w:szCs w:val="24"/>
          <w:lang w:val="en-GB"/>
        </w:rPr>
        <w:t>and</w:t>
      </w:r>
      <w:r w:rsidR="00C362E8" w:rsidRPr="00EB5213">
        <w:rPr>
          <w:rFonts w:ascii="Cambria" w:hAnsi="Cambria" w:cs="Times New Roman"/>
          <w:sz w:val="24"/>
          <w:szCs w:val="24"/>
          <w:lang w:val="en-GB"/>
        </w:rPr>
        <w:t xml:space="preserve"> 15-18 </w:t>
      </w:r>
      <w:r w:rsidR="00722EC1" w:rsidRPr="00EB5213">
        <w:rPr>
          <w:rFonts w:ascii="Cambria" w:hAnsi="Cambria" w:cs="Times New Roman"/>
          <w:sz w:val="24"/>
          <w:szCs w:val="24"/>
          <w:lang w:val="en-GB"/>
        </w:rPr>
        <w:t>years old</w:t>
      </w:r>
      <w:r w:rsidR="00C362E8" w:rsidRPr="00EB5213">
        <w:rPr>
          <w:rFonts w:ascii="Cambria" w:hAnsi="Cambria" w:cs="Times New Roman"/>
          <w:sz w:val="24"/>
          <w:szCs w:val="24"/>
          <w:lang w:val="en-GB"/>
        </w:rPr>
        <w:t>,</w:t>
      </w:r>
      <w:r w:rsidR="004E331D" w:rsidRPr="00EB5213">
        <w:rPr>
          <w:rFonts w:ascii="Cambria" w:hAnsi="Cambria" w:cs="Times New Roman"/>
          <w:sz w:val="24"/>
          <w:szCs w:val="24"/>
          <w:lang w:val="en-GB"/>
        </w:rPr>
        <w:t xml:space="preserve"> respectively, including in the latter </w:t>
      </w:r>
      <w:r w:rsidR="00303338" w:rsidRPr="00EB5213">
        <w:rPr>
          <w:rFonts w:ascii="Cambria" w:hAnsi="Cambria" w:cs="Times New Roman"/>
          <w:sz w:val="24"/>
          <w:szCs w:val="24"/>
          <w:lang w:val="en-GB"/>
        </w:rPr>
        <w:t>category</w:t>
      </w:r>
      <w:r w:rsidR="004E331D" w:rsidRPr="00EB5213">
        <w:rPr>
          <w:rFonts w:ascii="Cambria" w:hAnsi="Cambria" w:cs="Times New Roman"/>
          <w:sz w:val="24"/>
          <w:szCs w:val="24"/>
          <w:lang w:val="en-GB"/>
        </w:rPr>
        <w:t xml:space="preserve"> the youth beyond 18 years old who have not completed their school education</w:t>
      </w:r>
      <w:r w:rsidR="00715B39" w:rsidRPr="00EB5213">
        <w:rPr>
          <w:rFonts w:ascii="Cambria" w:hAnsi="Cambria" w:cs="Times New Roman"/>
          <w:sz w:val="24"/>
          <w:szCs w:val="24"/>
          <w:lang w:val="en-GB"/>
        </w:rPr>
        <w:t>)</w:t>
      </w:r>
      <w:r w:rsidR="00303338" w:rsidRPr="00EB5213">
        <w:rPr>
          <w:rFonts w:ascii="Cambria" w:hAnsi="Cambria" w:cs="Times New Roman"/>
          <w:sz w:val="24"/>
          <w:szCs w:val="24"/>
          <w:lang w:val="en-GB"/>
        </w:rPr>
        <w:t xml:space="preserve"> </w:t>
      </w:r>
      <w:r w:rsidR="00715B39" w:rsidRPr="00EB5213">
        <w:rPr>
          <w:rFonts w:ascii="Cambria" w:hAnsi="Cambria" w:cs="Times New Roman"/>
          <w:sz w:val="24"/>
          <w:szCs w:val="24"/>
          <w:lang w:val="en-GB"/>
        </w:rPr>
        <w:t>and la</w:t>
      </w:r>
      <w:r w:rsidR="00303338" w:rsidRPr="00EB5213">
        <w:rPr>
          <w:rFonts w:ascii="Cambria" w:hAnsi="Cambria" w:cs="Times New Roman"/>
          <w:sz w:val="24"/>
          <w:szCs w:val="24"/>
          <w:lang w:val="en-GB"/>
        </w:rPr>
        <w:t>st</w:t>
      </w:r>
      <w:r w:rsidR="006D36EB">
        <w:rPr>
          <w:rFonts w:ascii="Cambria" w:hAnsi="Cambria" w:cs="Times New Roman"/>
          <w:sz w:val="24"/>
          <w:szCs w:val="24"/>
          <w:lang w:val="en-GB"/>
        </w:rPr>
        <w:t xml:space="preserve">s </w:t>
      </w:r>
      <w:r w:rsidR="00715B39" w:rsidRPr="00EB5213">
        <w:rPr>
          <w:rFonts w:ascii="Cambria" w:hAnsi="Cambria" w:cs="Times New Roman"/>
          <w:sz w:val="24"/>
          <w:szCs w:val="24"/>
          <w:lang w:val="en-GB"/>
        </w:rPr>
        <w:t>one year, with a frequency of 4 hours per</w:t>
      </w:r>
      <w:r w:rsidR="00303338" w:rsidRPr="00EB5213">
        <w:rPr>
          <w:rFonts w:ascii="Cambria" w:hAnsi="Cambria" w:cs="Times New Roman"/>
          <w:sz w:val="24"/>
          <w:szCs w:val="24"/>
          <w:lang w:val="en-GB"/>
        </w:rPr>
        <w:t xml:space="preserve"> week</w:t>
      </w:r>
      <w:r w:rsidR="00E70395" w:rsidRPr="00EB5213">
        <w:rPr>
          <w:rFonts w:ascii="Cambria" w:hAnsi="Cambria" w:cs="Times New Roman"/>
          <w:sz w:val="24"/>
          <w:szCs w:val="24"/>
          <w:lang w:val="en-GB"/>
        </w:rPr>
        <w:t>.</w:t>
      </w:r>
      <w:r w:rsidR="00715B39" w:rsidRPr="00EB5213">
        <w:rPr>
          <w:rFonts w:ascii="Cambria" w:hAnsi="Cambria" w:cs="Times New Roman"/>
          <w:sz w:val="24"/>
          <w:szCs w:val="24"/>
          <w:lang w:val="en-GB"/>
        </w:rPr>
        <w:t xml:space="preserve"> </w:t>
      </w:r>
      <w:r w:rsidR="00241F46" w:rsidRPr="00EB5213">
        <w:rPr>
          <w:rFonts w:ascii="Cambria" w:hAnsi="Cambria" w:cs="Times New Roman"/>
          <w:sz w:val="24"/>
          <w:szCs w:val="24"/>
          <w:lang w:val="en-GB"/>
        </w:rPr>
        <w:t>The assessment of the a</w:t>
      </w:r>
      <w:r w:rsidR="00160C12" w:rsidRPr="00EB5213">
        <w:rPr>
          <w:rFonts w:ascii="Cambria" w:hAnsi="Cambria" w:cs="Times New Roman"/>
          <w:sz w:val="24"/>
          <w:szCs w:val="24"/>
          <w:lang w:val="en-GB"/>
        </w:rPr>
        <w:t>c</w:t>
      </w:r>
      <w:r w:rsidR="00241F46" w:rsidRPr="00EB5213">
        <w:rPr>
          <w:rFonts w:ascii="Cambria" w:hAnsi="Cambria" w:cs="Times New Roman"/>
          <w:sz w:val="24"/>
          <w:szCs w:val="24"/>
          <w:lang w:val="en-GB"/>
        </w:rPr>
        <w:t xml:space="preserve">quired linguistic </w:t>
      </w:r>
      <w:r w:rsidR="00303338" w:rsidRPr="00EB5213">
        <w:rPr>
          <w:rFonts w:ascii="Cambria" w:hAnsi="Cambria" w:cs="Times New Roman"/>
          <w:sz w:val="24"/>
          <w:szCs w:val="24"/>
          <w:lang w:val="en-GB"/>
        </w:rPr>
        <w:t>competences</w:t>
      </w:r>
      <w:r w:rsidR="00241F46" w:rsidRPr="00EB5213">
        <w:rPr>
          <w:rFonts w:ascii="Cambria" w:hAnsi="Cambria" w:cs="Times New Roman"/>
          <w:sz w:val="24"/>
          <w:szCs w:val="24"/>
          <w:lang w:val="en-GB"/>
        </w:rPr>
        <w:t xml:space="preserve"> is ensured by the school</w:t>
      </w:r>
      <w:r w:rsidR="006D36EB">
        <w:rPr>
          <w:rFonts w:ascii="Cambria" w:hAnsi="Cambria" w:cs="Times New Roman"/>
          <w:sz w:val="24"/>
          <w:szCs w:val="24"/>
          <w:lang w:val="en-GB"/>
        </w:rPr>
        <w:t>s</w:t>
      </w:r>
      <w:r w:rsidR="00241F46" w:rsidRPr="00EB5213">
        <w:rPr>
          <w:rFonts w:ascii="Cambria" w:hAnsi="Cambria" w:cs="Times New Roman"/>
          <w:sz w:val="24"/>
          <w:szCs w:val="24"/>
          <w:lang w:val="en-GB"/>
        </w:rPr>
        <w:t xml:space="preserve"> </w:t>
      </w:r>
      <w:r w:rsidR="006D36EB">
        <w:rPr>
          <w:rFonts w:ascii="Cambria" w:hAnsi="Cambria" w:cs="Times New Roman"/>
          <w:sz w:val="24"/>
          <w:szCs w:val="24"/>
          <w:lang w:val="en-GB"/>
        </w:rPr>
        <w:t>that</w:t>
      </w:r>
      <w:r w:rsidR="00241F46" w:rsidRPr="00EB5213">
        <w:rPr>
          <w:rFonts w:ascii="Cambria" w:hAnsi="Cambria" w:cs="Times New Roman"/>
          <w:sz w:val="24"/>
          <w:szCs w:val="24"/>
          <w:lang w:val="en-GB"/>
        </w:rPr>
        <w:t xml:space="preserve"> organized the courses</w:t>
      </w:r>
      <w:r w:rsidR="00161228" w:rsidRPr="00EB5213">
        <w:rPr>
          <w:rFonts w:ascii="Cambria" w:hAnsi="Cambria" w:cs="Times New Roman"/>
          <w:sz w:val="24"/>
          <w:szCs w:val="24"/>
          <w:lang w:val="en-GB"/>
        </w:rPr>
        <w:t xml:space="preserve"> and</w:t>
      </w:r>
      <w:r w:rsidR="00FE70FB">
        <w:rPr>
          <w:rFonts w:ascii="Cambria" w:hAnsi="Cambria" w:cs="Times New Roman"/>
          <w:sz w:val="24"/>
          <w:szCs w:val="24"/>
          <w:lang w:val="en-GB"/>
        </w:rPr>
        <w:t>,</w:t>
      </w:r>
      <w:r w:rsidR="00161228" w:rsidRPr="00EB5213">
        <w:rPr>
          <w:rFonts w:ascii="Cambria" w:hAnsi="Cambria" w:cs="Times New Roman"/>
          <w:sz w:val="24"/>
          <w:szCs w:val="24"/>
          <w:lang w:val="en-GB"/>
        </w:rPr>
        <w:t xml:space="preserve"> based on the</w:t>
      </w:r>
      <w:r w:rsidR="00160C12" w:rsidRPr="00EB5213">
        <w:rPr>
          <w:rFonts w:ascii="Cambria" w:hAnsi="Cambria" w:cs="Times New Roman"/>
          <w:sz w:val="24"/>
          <w:szCs w:val="24"/>
          <w:lang w:val="en-GB"/>
        </w:rPr>
        <w:t xml:space="preserve"> results</w:t>
      </w:r>
      <w:r w:rsidR="00161228" w:rsidRPr="00EB5213">
        <w:rPr>
          <w:rFonts w:ascii="Cambria" w:hAnsi="Cambria" w:cs="Times New Roman"/>
          <w:sz w:val="24"/>
          <w:szCs w:val="24"/>
          <w:lang w:val="en-GB"/>
        </w:rPr>
        <w:t xml:space="preserve"> of the assessment, </w:t>
      </w:r>
      <w:r w:rsidR="00D32BBA" w:rsidRPr="00EB5213">
        <w:rPr>
          <w:rFonts w:ascii="Cambria" w:hAnsi="Cambria" w:cs="Times New Roman"/>
          <w:sz w:val="24"/>
          <w:szCs w:val="24"/>
          <w:lang w:val="en-GB"/>
        </w:rPr>
        <w:t>the decision about</w:t>
      </w:r>
      <w:r w:rsidR="00160C12" w:rsidRPr="00EB5213">
        <w:rPr>
          <w:rFonts w:ascii="Cambria" w:hAnsi="Cambria" w:cs="Times New Roman"/>
          <w:sz w:val="24"/>
          <w:szCs w:val="24"/>
          <w:lang w:val="en-GB"/>
        </w:rPr>
        <w:t xml:space="preserve"> the proper study year for school </w:t>
      </w:r>
      <w:r w:rsidR="00303338" w:rsidRPr="00EB5213">
        <w:rPr>
          <w:rFonts w:ascii="Cambria" w:hAnsi="Cambria" w:cs="Times New Roman"/>
          <w:sz w:val="24"/>
          <w:szCs w:val="24"/>
          <w:lang w:val="en-GB"/>
        </w:rPr>
        <w:t>enrolment</w:t>
      </w:r>
      <w:r w:rsidR="00160C12" w:rsidRPr="00EB5213">
        <w:rPr>
          <w:rFonts w:ascii="Cambria" w:hAnsi="Cambria" w:cs="Times New Roman"/>
          <w:sz w:val="24"/>
          <w:szCs w:val="24"/>
          <w:lang w:val="en-GB"/>
        </w:rPr>
        <w:t xml:space="preserve"> is </w:t>
      </w:r>
      <w:r w:rsidR="00D32BBA" w:rsidRPr="00EB5213">
        <w:rPr>
          <w:rFonts w:ascii="Cambria" w:hAnsi="Cambria" w:cs="Times New Roman"/>
          <w:sz w:val="24"/>
          <w:szCs w:val="24"/>
          <w:lang w:val="en-GB"/>
        </w:rPr>
        <w:t>made</w:t>
      </w:r>
      <w:r w:rsidR="00160C12" w:rsidRPr="00EB5213">
        <w:rPr>
          <w:rFonts w:ascii="Cambria" w:hAnsi="Cambria" w:cs="Times New Roman"/>
          <w:sz w:val="24"/>
          <w:szCs w:val="24"/>
          <w:lang w:val="en-GB"/>
        </w:rPr>
        <w:t xml:space="preserve">. </w:t>
      </w:r>
      <w:r w:rsidR="00CA6CDD" w:rsidRPr="00EB5213">
        <w:rPr>
          <w:rFonts w:ascii="Cambria" w:hAnsi="Cambria" w:cs="Times New Roman"/>
          <w:sz w:val="24"/>
          <w:szCs w:val="24"/>
          <w:lang w:val="en-GB"/>
        </w:rPr>
        <w:t xml:space="preserve"> </w:t>
      </w:r>
    </w:p>
    <w:p w:rsidR="00D32BBA" w:rsidRPr="00EB5213" w:rsidRDefault="00D32BBA" w:rsidP="00E64CD2">
      <w:pPr>
        <w:spacing w:after="60"/>
        <w:jc w:val="both"/>
        <w:rPr>
          <w:rFonts w:ascii="Cambria" w:hAnsi="Cambria" w:cs="Times New Roman"/>
          <w:sz w:val="24"/>
          <w:szCs w:val="24"/>
          <w:lang w:val="en-GB"/>
        </w:rPr>
      </w:pPr>
      <w:r w:rsidRPr="00EB5213">
        <w:rPr>
          <w:rFonts w:ascii="Cambria" w:hAnsi="Cambria" w:cs="Times New Roman"/>
          <w:sz w:val="24"/>
          <w:szCs w:val="24"/>
          <w:lang w:val="en-GB"/>
        </w:rPr>
        <w:t xml:space="preserve">In order to foster the smooth insertion of these children into the school system, </w:t>
      </w:r>
      <w:r w:rsidR="00D141A6" w:rsidRPr="00EB5213">
        <w:rPr>
          <w:rFonts w:ascii="Cambria" w:hAnsi="Cambria" w:cs="Times New Roman"/>
          <w:sz w:val="24"/>
          <w:szCs w:val="24"/>
          <w:lang w:val="en-GB"/>
        </w:rPr>
        <w:t xml:space="preserve">the legal framework ensures </w:t>
      </w:r>
      <w:r w:rsidR="004159B8" w:rsidRPr="00EB5213">
        <w:rPr>
          <w:rFonts w:ascii="Cambria" w:hAnsi="Cambria" w:cs="Times New Roman"/>
          <w:sz w:val="24"/>
          <w:szCs w:val="24"/>
          <w:lang w:val="en-GB"/>
        </w:rPr>
        <w:t xml:space="preserve">the </w:t>
      </w:r>
      <w:r w:rsidR="00303338" w:rsidRPr="00EB5213">
        <w:rPr>
          <w:rFonts w:ascii="Cambria" w:hAnsi="Cambria" w:cs="Times New Roman"/>
          <w:sz w:val="24"/>
          <w:szCs w:val="24"/>
          <w:lang w:val="en-GB"/>
        </w:rPr>
        <w:t>possibility</w:t>
      </w:r>
      <w:r w:rsidR="004159B8" w:rsidRPr="00EB5213">
        <w:rPr>
          <w:rFonts w:ascii="Cambria" w:hAnsi="Cambria" w:cs="Times New Roman"/>
          <w:sz w:val="24"/>
          <w:szCs w:val="24"/>
          <w:lang w:val="en-GB"/>
        </w:rPr>
        <w:t xml:space="preserve"> that they take part in school activities</w:t>
      </w:r>
      <w:r w:rsidR="007805B7" w:rsidRPr="00EB5213">
        <w:rPr>
          <w:rFonts w:ascii="Cambria" w:hAnsi="Cambria" w:cs="Times New Roman"/>
          <w:sz w:val="24"/>
          <w:szCs w:val="24"/>
          <w:lang w:val="en-GB"/>
        </w:rPr>
        <w:t xml:space="preserve"> of theoretical, practical or recreational nature</w:t>
      </w:r>
      <w:r w:rsidR="00303338" w:rsidRPr="00EB5213">
        <w:rPr>
          <w:rFonts w:ascii="Cambria" w:hAnsi="Cambria" w:cs="Times New Roman"/>
          <w:sz w:val="24"/>
          <w:szCs w:val="24"/>
          <w:lang w:val="en-GB"/>
        </w:rPr>
        <w:t>, alongside</w:t>
      </w:r>
      <w:r w:rsidR="004159B8" w:rsidRPr="00EB5213">
        <w:rPr>
          <w:rFonts w:ascii="Cambria" w:hAnsi="Cambria" w:cs="Times New Roman"/>
          <w:sz w:val="24"/>
          <w:szCs w:val="24"/>
          <w:lang w:val="en-GB"/>
        </w:rPr>
        <w:t xml:space="preserve"> the Romanian </w:t>
      </w:r>
      <w:r w:rsidR="00FE70FB">
        <w:rPr>
          <w:rFonts w:ascii="Cambria" w:hAnsi="Cambria" w:cs="Times New Roman"/>
          <w:sz w:val="24"/>
          <w:szCs w:val="24"/>
          <w:lang w:val="en-GB"/>
        </w:rPr>
        <w:t>pupils</w:t>
      </w:r>
      <w:r w:rsidR="004159B8" w:rsidRPr="00EB5213">
        <w:rPr>
          <w:rFonts w:ascii="Cambria" w:hAnsi="Cambria" w:cs="Times New Roman"/>
          <w:sz w:val="24"/>
          <w:szCs w:val="24"/>
          <w:lang w:val="en-GB"/>
        </w:rPr>
        <w:t xml:space="preserve">. </w:t>
      </w:r>
    </w:p>
    <w:p w:rsidR="005F2B2F" w:rsidRPr="00EB5213" w:rsidRDefault="00831745" w:rsidP="00722EC1">
      <w:pPr>
        <w:jc w:val="both"/>
        <w:rPr>
          <w:rFonts w:ascii="Cambria" w:hAnsi="Cambria" w:cs="Times New Roman"/>
          <w:sz w:val="24"/>
          <w:szCs w:val="24"/>
          <w:lang w:val="en-GB"/>
        </w:rPr>
      </w:pPr>
      <w:r>
        <w:rPr>
          <w:rFonts w:ascii="Cambria" w:hAnsi="Cambria" w:cs="Times New Roman"/>
          <w:sz w:val="24"/>
          <w:szCs w:val="24"/>
          <w:lang w:val="en-GB"/>
        </w:rPr>
        <w:t>By</w:t>
      </w:r>
      <w:r w:rsidR="00BA7C61" w:rsidRPr="00EB5213">
        <w:rPr>
          <w:rFonts w:ascii="Cambria" w:hAnsi="Cambria" w:cs="Times New Roman"/>
          <w:sz w:val="24"/>
          <w:szCs w:val="24"/>
          <w:lang w:val="en-GB"/>
        </w:rPr>
        <w:t xml:space="preserve"> the Law no. 331/ 2015 which amends and supplements some </w:t>
      </w:r>
      <w:r w:rsidR="00722EC1" w:rsidRPr="00EB5213">
        <w:rPr>
          <w:rFonts w:ascii="Cambria" w:hAnsi="Cambria" w:cs="Times New Roman"/>
          <w:sz w:val="24"/>
          <w:szCs w:val="24"/>
          <w:lang w:val="en-GB"/>
        </w:rPr>
        <w:t xml:space="preserve">legal acts, minor asylum applicants benefit, as well, under article 18, of a free Romanian language course for beginners in order to facilitate their </w:t>
      </w:r>
      <w:r w:rsidR="00303338" w:rsidRPr="00EB5213">
        <w:rPr>
          <w:rFonts w:ascii="Cambria" w:hAnsi="Cambria" w:cs="Times New Roman"/>
          <w:sz w:val="24"/>
          <w:szCs w:val="24"/>
          <w:lang w:val="en-GB"/>
        </w:rPr>
        <w:t>enrolment</w:t>
      </w:r>
      <w:r w:rsidR="00722EC1" w:rsidRPr="00EB5213">
        <w:rPr>
          <w:rFonts w:ascii="Cambria" w:hAnsi="Cambria" w:cs="Times New Roman"/>
          <w:sz w:val="24"/>
          <w:szCs w:val="24"/>
          <w:lang w:val="en-GB"/>
        </w:rPr>
        <w:t xml:space="preserve"> in the national school system.</w:t>
      </w:r>
    </w:p>
    <w:p w:rsidR="00CE3A48" w:rsidRPr="00EB5213" w:rsidRDefault="00A4425F" w:rsidP="00246B66">
      <w:pPr>
        <w:spacing w:after="120"/>
        <w:jc w:val="both"/>
        <w:rPr>
          <w:rFonts w:ascii="Cambria" w:hAnsi="Cambria"/>
          <w:b/>
          <w:sz w:val="24"/>
          <w:lang w:val="en-GB"/>
        </w:rPr>
      </w:pPr>
      <w:r w:rsidRPr="00EB5213">
        <w:rPr>
          <w:rFonts w:ascii="Cambria" w:hAnsi="Cambria"/>
          <w:b/>
          <w:sz w:val="24"/>
          <w:lang w:val="en-GB"/>
        </w:rPr>
        <w:t xml:space="preserve">2. </w:t>
      </w:r>
      <w:r w:rsidR="00755F8E" w:rsidRPr="00EB5213">
        <w:rPr>
          <w:rFonts w:ascii="Cambria" w:hAnsi="Cambria"/>
          <w:b/>
          <w:sz w:val="24"/>
          <w:lang w:val="en-GB"/>
        </w:rPr>
        <w:t xml:space="preserve">The provision of access to education  </w:t>
      </w:r>
    </w:p>
    <w:p w:rsidR="00755F8E" w:rsidRDefault="00250296" w:rsidP="00246B66">
      <w:pPr>
        <w:spacing w:after="120"/>
        <w:jc w:val="both"/>
        <w:rPr>
          <w:rFonts w:ascii="Cambria" w:hAnsi="Cambria"/>
          <w:sz w:val="24"/>
          <w:lang w:val="en-GB"/>
        </w:rPr>
      </w:pPr>
      <w:r w:rsidRPr="00EB5213">
        <w:rPr>
          <w:rFonts w:ascii="Cambria" w:hAnsi="Cambria"/>
          <w:sz w:val="24"/>
          <w:lang w:val="en-GB"/>
        </w:rPr>
        <w:lastRenderedPageBreak/>
        <w:t>The n</w:t>
      </w:r>
      <w:r w:rsidR="00D16634" w:rsidRPr="00EB5213">
        <w:rPr>
          <w:rFonts w:ascii="Cambria" w:hAnsi="Cambria"/>
          <w:sz w:val="24"/>
          <w:lang w:val="en-GB"/>
        </w:rPr>
        <w:t xml:space="preserve">ational legislation provides the equal access of </w:t>
      </w:r>
      <w:r w:rsidR="00514315" w:rsidRPr="00EB5213">
        <w:rPr>
          <w:rFonts w:ascii="Cambria" w:hAnsi="Cambria"/>
          <w:sz w:val="24"/>
          <w:lang w:val="en-GB"/>
        </w:rPr>
        <w:t>foreigners</w:t>
      </w:r>
      <w:r w:rsidR="00D16634" w:rsidRPr="00EB5213">
        <w:rPr>
          <w:rFonts w:ascii="Cambria" w:hAnsi="Cambria"/>
          <w:sz w:val="24"/>
          <w:lang w:val="en-GB"/>
        </w:rPr>
        <w:t xml:space="preserve"> that have obtained a form of protection </w:t>
      </w:r>
      <w:r w:rsidR="003A5DEE" w:rsidRPr="00EB5213">
        <w:rPr>
          <w:rFonts w:ascii="Cambria" w:hAnsi="Cambria"/>
          <w:sz w:val="24"/>
          <w:lang w:val="en-GB"/>
        </w:rPr>
        <w:t>in Romania to all forms of education, under the same conditions as those laid down by law</w:t>
      </w:r>
      <w:r w:rsidR="00722E3A" w:rsidRPr="00EB5213">
        <w:rPr>
          <w:rFonts w:ascii="Cambria" w:hAnsi="Cambria"/>
          <w:sz w:val="24"/>
          <w:lang w:val="en-GB"/>
        </w:rPr>
        <w:t xml:space="preserve"> for the Romanian citizens, </w:t>
      </w:r>
      <w:r w:rsidR="00514315" w:rsidRPr="00EB5213">
        <w:rPr>
          <w:rFonts w:ascii="Cambria" w:hAnsi="Cambria"/>
          <w:sz w:val="24"/>
          <w:lang w:val="en-GB"/>
        </w:rPr>
        <w:t>according</w:t>
      </w:r>
      <w:r w:rsidR="00722E3A" w:rsidRPr="00EB5213">
        <w:rPr>
          <w:rFonts w:ascii="Cambria" w:hAnsi="Cambria"/>
          <w:sz w:val="24"/>
          <w:lang w:val="en-GB"/>
        </w:rPr>
        <w:t xml:space="preserve"> to the </w:t>
      </w:r>
      <w:r w:rsidR="00514315" w:rsidRPr="00EB5213">
        <w:rPr>
          <w:rFonts w:ascii="Cambria" w:hAnsi="Cambria"/>
          <w:sz w:val="24"/>
          <w:lang w:val="en-GB"/>
        </w:rPr>
        <w:t>Government</w:t>
      </w:r>
      <w:r w:rsidR="00722E3A" w:rsidRPr="00EB5213">
        <w:rPr>
          <w:rFonts w:ascii="Cambria" w:hAnsi="Cambria"/>
          <w:sz w:val="24"/>
          <w:lang w:val="en-GB"/>
        </w:rPr>
        <w:t xml:space="preserve"> Ordinance no 44 / 2004. </w:t>
      </w:r>
    </w:p>
    <w:p w:rsidR="00722E3A" w:rsidRPr="00EB5213" w:rsidRDefault="00722E3A" w:rsidP="006F2643">
      <w:pPr>
        <w:jc w:val="both"/>
        <w:rPr>
          <w:rFonts w:ascii="Cambria" w:hAnsi="Cambria" w:cs="Times New Roman"/>
          <w:sz w:val="24"/>
          <w:szCs w:val="24"/>
          <w:lang w:val="en-GB"/>
        </w:rPr>
      </w:pPr>
      <w:r w:rsidRPr="00EB5213">
        <w:rPr>
          <w:rFonts w:ascii="Cambria" w:hAnsi="Cambria" w:cs="Times New Roman"/>
          <w:sz w:val="24"/>
          <w:szCs w:val="24"/>
          <w:lang w:val="en-GB"/>
        </w:rPr>
        <w:t>Moreover, the Law of National Education no 1 / 2011</w:t>
      </w:r>
      <w:r w:rsidR="007E7A33" w:rsidRPr="00EB5213">
        <w:rPr>
          <w:rFonts w:ascii="Cambria" w:hAnsi="Cambria" w:cs="Times New Roman"/>
          <w:sz w:val="24"/>
          <w:szCs w:val="24"/>
          <w:lang w:val="en-GB"/>
        </w:rPr>
        <w:t xml:space="preserve">grants </w:t>
      </w:r>
      <w:r w:rsidR="00901F4C" w:rsidRPr="00EB5213">
        <w:rPr>
          <w:rFonts w:ascii="Cambria" w:hAnsi="Cambria" w:cs="Times New Roman"/>
          <w:sz w:val="24"/>
          <w:szCs w:val="24"/>
          <w:lang w:val="en-GB"/>
        </w:rPr>
        <w:t xml:space="preserve">the following categories of persons: </w:t>
      </w:r>
      <w:r w:rsidR="00AB61AF">
        <w:rPr>
          <w:rFonts w:ascii="Cambria" w:hAnsi="Cambria" w:cs="Times New Roman"/>
          <w:sz w:val="24"/>
          <w:szCs w:val="24"/>
          <w:lang w:val="en-GB"/>
        </w:rPr>
        <w:t xml:space="preserve">minors who applied for or obtained a form of protection in Romanian, </w:t>
      </w:r>
      <w:r w:rsidR="00901F4C" w:rsidRPr="00EB5213">
        <w:rPr>
          <w:rFonts w:ascii="Cambria" w:hAnsi="Cambria" w:cs="Times New Roman"/>
          <w:sz w:val="24"/>
          <w:szCs w:val="24"/>
          <w:lang w:val="en-GB"/>
        </w:rPr>
        <w:t>foreign minors and stateless minors</w:t>
      </w:r>
      <w:r w:rsidR="0043410B">
        <w:rPr>
          <w:rFonts w:ascii="Cambria" w:hAnsi="Cambria" w:cs="Times New Roman"/>
          <w:sz w:val="24"/>
          <w:szCs w:val="24"/>
          <w:lang w:val="en-GB"/>
        </w:rPr>
        <w:t>,</w:t>
      </w:r>
      <w:r w:rsidR="00901F4C" w:rsidRPr="00EB5213">
        <w:rPr>
          <w:rFonts w:ascii="Cambria" w:hAnsi="Cambria" w:cs="Times New Roman"/>
          <w:sz w:val="24"/>
          <w:szCs w:val="24"/>
          <w:lang w:val="en-GB"/>
        </w:rPr>
        <w:t xml:space="preserve"> whose residence in Romania is </w:t>
      </w:r>
      <w:r w:rsidR="00514315" w:rsidRPr="00EB5213">
        <w:rPr>
          <w:rFonts w:ascii="Cambria" w:hAnsi="Cambria" w:cs="Times New Roman"/>
          <w:sz w:val="24"/>
          <w:szCs w:val="24"/>
          <w:lang w:val="en-GB"/>
        </w:rPr>
        <w:t>officially</w:t>
      </w:r>
      <w:r w:rsidR="00901F4C" w:rsidRPr="00EB5213">
        <w:rPr>
          <w:rFonts w:ascii="Cambria" w:hAnsi="Cambria" w:cs="Times New Roman"/>
          <w:sz w:val="24"/>
          <w:szCs w:val="24"/>
          <w:lang w:val="en-GB"/>
        </w:rPr>
        <w:t xml:space="preserve"> </w:t>
      </w:r>
      <w:r w:rsidR="00514315" w:rsidRPr="00EB5213">
        <w:rPr>
          <w:rFonts w:ascii="Cambria" w:hAnsi="Cambria" w:cs="Times New Roman"/>
          <w:sz w:val="24"/>
          <w:szCs w:val="24"/>
          <w:lang w:val="en-GB"/>
        </w:rPr>
        <w:t>recognised</w:t>
      </w:r>
      <w:r w:rsidR="00901F4C" w:rsidRPr="00EB5213">
        <w:rPr>
          <w:rFonts w:ascii="Cambria" w:hAnsi="Cambria" w:cs="Times New Roman"/>
          <w:sz w:val="24"/>
          <w:szCs w:val="24"/>
          <w:lang w:val="en-GB"/>
        </w:rPr>
        <w:t xml:space="preserve"> </w:t>
      </w:r>
      <w:r w:rsidR="00514315" w:rsidRPr="00EB5213">
        <w:rPr>
          <w:rFonts w:ascii="Cambria" w:hAnsi="Cambria" w:cs="Times New Roman"/>
          <w:sz w:val="24"/>
          <w:szCs w:val="24"/>
          <w:lang w:val="en-GB"/>
        </w:rPr>
        <w:t>according</w:t>
      </w:r>
      <w:r w:rsidR="00901F4C" w:rsidRPr="00EB5213">
        <w:rPr>
          <w:rFonts w:ascii="Cambria" w:hAnsi="Cambria" w:cs="Times New Roman"/>
          <w:sz w:val="24"/>
          <w:szCs w:val="24"/>
          <w:lang w:val="en-GB"/>
        </w:rPr>
        <w:t xml:space="preserve"> to law, </w:t>
      </w:r>
      <w:r w:rsidR="007E7A33" w:rsidRPr="00EB5213">
        <w:rPr>
          <w:rFonts w:ascii="Cambria" w:hAnsi="Cambria" w:cs="Times New Roman"/>
          <w:sz w:val="24"/>
          <w:szCs w:val="24"/>
          <w:lang w:val="en-GB"/>
        </w:rPr>
        <w:t xml:space="preserve">the same rights as those provided to the national citizens </w:t>
      </w:r>
      <w:r w:rsidR="00EA6BBA" w:rsidRPr="00EB5213">
        <w:rPr>
          <w:rFonts w:ascii="Cambria" w:hAnsi="Cambria" w:cs="Times New Roman"/>
          <w:sz w:val="24"/>
          <w:szCs w:val="24"/>
          <w:lang w:val="en-GB"/>
        </w:rPr>
        <w:t xml:space="preserve">regarding the access to all levels and forms of pre-university </w:t>
      </w:r>
      <w:r w:rsidR="00514315" w:rsidRPr="00EB5213">
        <w:rPr>
          <w:rFonts w:ascii="Cambria" w:hAnsi="Cambria" w:cs="Times New Roman"/>
          <w:sz w:val="24"/>
          <w:szCs w:val="24"/>
          <w:lang w:val="en-GB"/>
        </w:rPr>
        <w:t>education</w:t>
      </w:r>
      <w:r w:rsidR="00E5692A" w:rsidRPr="00EB5213">
        <w:rPr>
          <w:rFonts w:ascii="Cambria" w:hAnsi="Cambria" w:cs="Times New Roman"/>
          <w:sz w:val="24"/>
          <w:szCs w:val="24"/>
          <w:lang w:val="en-GB"/>
        </w:rPr>
        <w:t xml:space="preserve"> and higher education, as well a</w:t>
      </w:r>
      <w:r w:rsidR="00EA6BBA" w:rsidRPr="00EB5213">
        <w:rPr>
          <w:rFonts w:ascii="Cambria" w:hAnsi="Cambria" w:cs="Times New Roman"/>
          <w:sz w:val="24"/>
          <w:szCs w:val="24"/>
          <w:lang w:val="en-GB"/>
        </w:rPr>
        <w:t>s</w:t>
      </w:r>
      <w:r w:rsidR="00E5692A" w:rsidRPr="00EB5213">
        <w:rPr>
          <w:rFonts w:ascii="Cambria" w:hAnsi="Cambria" w:cs="Times New Roman"/>
          <w:sz w:val="24"/>
          <w:szCs w:val="24"/>
          <w:lang w:val="en-GB"/>
        </w:rPr>
        <w:t xml:space="preserve"> regarding lifelong learning, wit</w:t>
      </w:r>
      <w:r w:rsidR="00D912C2" w:rsidRPr="00EB5213">
        <w:rPr>
          <w:rFonts w:ascii="Cambria" w:hAnsi="Cambria" w:cs="Times New Roman"/>
          <w:sz w:val="24"/>
          <w:szCs w:val="24"/>
          <w:lang w:val="en-GB"/>
        </w:rPr>
        <w:t>hout any form of discrimination</w:t>
      </w:r>
      <w:r w:rsidR="00901F4C" w:rsidRPr="00EB5213">
        <w:rPr>
          <w:rFonts w:ascii="Cambria" w:hAnsi="Cambria" w:cs="Times New Roman"/>
          <w:sz w:val="24"/>
          <w:szCs w:val="24"/>
          <w:lang w:val="en-GB"/>
        </w:rPr>
        <w:t>.</w:t>
      </w:r>
      <w:r w:rsidR="00514315" w:rsidRPr="00EB5213">
        <w:rPr>
          <w:rFonts w:ascii="Cambria" w:hAnsi="Cambria" w:cs="Times New Roman"/>
          <w:sz w:val="24"/>
          <w:szCs w:val="24"/>
          <w:lang w:val="en-GB"/>
        </w:rPr>
        <w:t xml:space="preserve"> Law no 331 / 2015 guarantees the access to education of minor asylum applicants. </w:t>
      </w:r>
    </w:p>
    <w:p w:rsidR="000149FF" w:rsidRPr="00EB5213" w:rsidRDefault="00D95CC1" w:rsidP="00246B66">
      <w:pPr>
        <w:spacing w:after="120"/>
        <w:jc w:val="both"/>
        <w:rPr>
          <w:rFonts w:ascii="Cambria" w:hAnsi="Cambria"/>
          <w:b/>
          <w:sz w:val="24"/>
          <w:lang w:val="en-GB"/>
        </w:rPr>
      </w:pPr>
      <w:r w:rsidRPr="00EB5213">
        <w:rPr>
          <w:rFonts w:ascii="Cambria" w:hAnsi="Cambria"/>
          <w:b/>
          <w:sz w:val="24"/>
          <w:lang w:val="en-GB"/>
        </w:rPr>
        <w:t xml:space="preserve">3. </w:t>
      </w:r>
      <w:r w:rsidR="00250296" w:rsidRPr="00EB5213">
        <w:rPr>
          <w:rFonts w:ascii="Cambria" w:hAnsi="Cambria"/>
          <w:b/>
          <w:sz w:val="24"/>
          <w:lang w:val="en-GB"/>
        </w:rPr>
        <w:t xml:space="preserve">The equivalence of studies </w:t>
      </w:r>
    </w:p>
    <w:p w:rsidR="00514315" w:rsidRPr="00EB5213" w:rsidRDefault="00250296" w:rsidP="00246B66">
      <w:pPr>
        <w:spacing w:after="120"/>
        <w:jc w:val="both"/>
        <w:rPr>
          <w:rFonts w:ascii="Cambria" w:hAnsi="Cambria"/>
          <w:sz w:val="24"/>
          <w:lang w:val="en-GB"/>
        </w:rPr>
      </w:pPr>
      <w:r w:rsidRPr="00EB5213">
        <w:rPr>
          <w:rFonts w:ascii="Cambria" w:hAnsi="Cambria"/>
          <w:sz w:val="24"/>
          <w:lang w:val="en-GB"/>
        </w:rPr>
        <w:t xml:space="preserve">The national legislation </w:t>
      </w:r>
      <w:r w:rsidR="007211C9">
        <w:rPr>
          <w:rFonts w:ascii="Cambria" w:hAnsi="Cambria"/>
          <w:sz w:val="24"/>
          <w:lang w:val="en-GB"/>
        </w:rPr>
        <w:t>provides</w:t>
      </w:r>
      <w:r w:rsidR="008436EF" w:rsidRPr="00EB5213">
        <w:rPr>
          <w:rFonts w:ascii="Cambria" w:hAnsi="Cambria"/>
          <w:sz w:val="24"/>
          <w:lang w:val="en-GB"/>
        </w:rPr>
        <w:t xml:space="preserve"> means of </w:t>
      </w:r>
      <w:r w:rsidR="007D38EF" w:rsidRPr="00EB5213">
        <w:rPr>
          <w:rFonts w:ascii="Cambria" w:hAnsi="Cambria"/>
          <w:sz w:val="24"/>
          <w:lang w:val="en-GB"/>
        </w:rPr>
        <w:t>equivalence of studies for the minors that have obtained a form of protection or the righ</w:t>
      </w:r>
      <w:r w:rsidR="005F660A">
        <w:rPr>
          <w:rFonts w:ascii="Cambria" w:hAnsi="Cambria"/>
          <w:sz w:val="24"/>
          <w:lang w:val="en-GB"/>
        </w:rPr>
        <w:t>t</w:t>
      </w:r>
      <w:r w:rsidR="007D38EF" w:rsidRPr="00EB5213">
        <w:rPr>
          <w:rFonts w:ascii="Cambria" w:hAnsi="Cambria"/>
          <w:sz w:val="24"/>
          <w:lang w:val="en-GB"/>
        </w:rPr>
        <w:t xml:space="preserve"> to reside in Romanian, </w:t>
      </w:r>
      <w:r w:rsidR="005513F8">
        <w:rPr>
          <w:rFonts w:ascii="Cambria" w:hAnsi="Cambria"/>
          <w:sz w:val="24"/>
          <w:lang w:val="en-GB"/>
        </w:rPr>
        <w:t>addressing,</w:t>
      </w:r>
      <w:r w:rsidR="007D38EF" w:rsidRPr="00EB5213">
        <w:rPr>
          <w:rFonts w:ascii="Cambria" w:hAnsi="Cambria"/>
          <w:sz w:val="24"/>
          <w:lang w:val="en-GB"/>
        </w:rPr>
        <w:t xml:space="preserve"> </w:t>
      </w:r>
      <w:r w:rsidR="005513F8" w:rsidRPr="00EB5213">
        <w:rPr>
          <w:rFonts w:ascii="Cambria" w:hAnsi="Cambria"/>
          <w:sz w:val="24"/>
          <w:lang w:val="en-GB"/>
        </w:rPr>
        <w:t>as we</w:t>
      </w:r>
      <w:r w:rsidR="005513F8">
        <w:rPr>
          <w:rFonts w:ascii="Cambria" w:hAnsi="Cambria"/>
          <w:sz w:val="24"/>
          <w:lang w:val="en-GB"/>
        </w:rPr>
        <w:t>l</w:t>
      </w:r>
      <w:r w:rsidR="005513F8" w:rsidRPr="00EB5213">
        <w:rPr>
          <w:rFonts w:ascii="Cambria" w:hAnsi="Cambria"/>
          <w:sz w:val="24"/>
          <w:lang w:val="en-GB"/>
        </w:rPr>
        <w:t xml:space="preserve">l, </w:t>
      </w:r>
      <w:r w:rsidR="007D38EF" w:rsidRPr="00EB5213">
        <w:rPr>
          <w:rFonts w:ascii="Cambria" w:hAnsi="Cambria"/>
          <w:sz w:val="24"/>
          <w:lang w:val="en-GB"/>
        </w:rPr>
        <w:t xml:space="preserve">the case where </w:t>
      </w:r>
      <w:r w:rsidR="004F472B" w:rsidRPr="00EB5213">
        <w:rPr>
          <w:rFonts w:ascii="Cambria" w:hAnsi="Cambria"/>
          <w:sz w:val="24"/>
          <w:lang w:val="en-GB"/>
        </w:rPr>
        <w:t xml:space="preserve">study </w:t>
      </w:r>
      <w:r w:rsidR="00AD6575" w:rsidRPr="00EB5213">
        <w:rPr>
          <w:rFonts w:ascii="Cambria" w:hAnsi="Cambria"/>
          <w:sz w:val="24"/>
          <w:lang w:val="en-GB"/>
        </w:rPr>
        <w:t>documents cannot b</w:t>
      </w:r>
      <w:r w:rsidR="004F472B" w:rsidRPr="00EB5213">
        <w:rPr>
          <w:rFonts w:ascii="Cambria" w:hAnsi="Cambria"/>
          <w:sz w:val="24"/>
          <w:lang w:val="en-GB"/>
        </w:rPr>
        <w:t>e</w:t>
      </w:r>
      <w:r w:rsidR="00AD6575" w:rsidRPr="00EB5213">
        <w:rPr>
          <w:rFonts w:ascii="Cambria" w:hAnsi="Cambria"/>
          <w:sz w:val="24"/>
          <w:lang w:val="en-GB"/>
        </w:rPr>
        <w:t xml:space="preserve"> </w:t>
      </w:r>
      <w:r w:rsidR="004F472B" w:rsidRPr="00EB5213">
        <w:rPr>
          <w:rFonts w:ascii="Cambria" w:hAnsi="Cambria"/>
          <w:sz w:val="24"/>
          <w:lang w:val="en-GB"/>
        </w:rPr>
        <w:t xml:space="preserve">provided. </w:t>
      </w:r>
    </w:p>
    <w:p w:rsidR="004F472B" w:rsidRPr="00EB5213" w:rsidRDefault="00455773" w:rsidP="004F472B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  <w:lang w:val="en-GB"/>
        </w:rPr>
      </w:pPr>
      <w:r w:rsidRPr="00EB5213">
        <w:rPr>
          <w:rFonts w:ascii="Cambria" w:hAnsi="Cambria" w:cs="Times New Roman"/>
          <w:sz w:val="24"/>
          <w:szCs w:val="24"/>
          <w:lang w:val="en-GB"/>
        </w:rPr>
        <w:t xml:space="preserve">For the case where documents regarding the studies attended / completed in the country of origin can be provided, </w:t>
      </w:r>
      <w:r w:rsidR="00AD6575" w:rsidRPr="00EB5213">
        <w:rPr>
          <w:rFonts w:ascii="Cambria" w:hAnsi="Cambria" w:cs="Times New Roman"/>
          <w:sz w:val="24"/>
          <w:szCs w:val="24"/>
          <w:lang w:val="en-GB"/>
        </w:rPr>
        <w:t xml:space="preserve">the equivalence procedure </w:t>
      </w:r>
      <w:r w:rsidR="00D26D9B" w:rsidRPr="00EB5213">
        <w:rPr>
          <w:rFonts w:ascii="Cambria" w:hAnsi="Cambria" w:cs="Times New Roman"/>
          <w:sz w:val="24"/>
          <w:szCs w:val="24"/>
          <w:lang w:val="en-GB"/>
        </w:rPr>
        <w:t>will be ensured by the speci</w:t>
      </w:r>
      <w:r w:rsidR="005F660A">
        <w:rPr>
          <w:rFonts w:ascii="Cambria" w:hAnsi="Cambria" w:cs="Times New Roman"/>
          <w:sz w:val="24"/>
          <w:szCs w:val="24"/>
          <w:lang w:val="en-GB"/>
        </w:rPr>
        <w:t>a</w:t>
      </w:r>
      <w:r w:rsidR="00D26D9B" w:rsidRPr="00EB5213">
        <w:rPr>
          <w:rFonts w:ascii="Cambria" w:hAnsi="Cambria" w:cs="Times New Roman"/>
          <w:sz w:val="24"/>
          <w:szCs w:val="24"/>
          <w:lang w:val="en-GB"/>
        </w:rPr>
        <w:t>lized service w</w:t>
      </w:r>
      <w:r w:rsidR="00AC7385" w:rsidRPr="00EB5213">
        <w:rPr>
          <w:rFonts w:ascii="Cambria" w:hAnsi="Cambria" w:cs="Times New Roman"/>
          <w:sz w:val="24"/>
          <w:szCs w:val="24"/>
          <w:lang w:val="en-GB"/>
        </w:rPr>
        <w:t xml:space="preserve">ithin the Ministry of Education, </w:t>
      </w:r>
      <w:r w:rsidR="00266287" w:rsidRPr="00EB5213">
        <w:rPr>
          <w:rFonts w:ascii="Cambria" w:hAnsi="Cambria" w:cs="Times New Roman"/>
          <w:sz w:val="24"/>
          <w:szCs w:val="24"/>
          <w:lang w:val="en-GB"/>
        </w:rPr>
        <w:t xml:space="preserve">in </w:t>
      </w:r>
      <w:r w:rsidR="00AC7385" w:rsidRPr="00EB5213">
        <w:rPr>
          <w:rFonts w:ascii="Cambria" w:hAnsi="Cambria" w:cs="Times New Roman"/>
          <w:sz w:val="24"/>
          <w:szCs w:val="24"/>
          <w:lang w:val="en-GB"/>
        </w:rPr>
        <w:t>accord</w:t>
      </w:r>
      <w:r w:rsidR="00266287" w:rsidRPr="00EB5213">
        <w:rPr>
          <w:rFonts w:ascii="Cambria" w:hAnsi="Cambria" w:cs="Times New Roman"/>
          <w:sz w:val="24"/>
          <w:szCs w:val="24"/>
          <w:lang w:val="en-GB"/>
        </w:rPr>
        <w:t>a</w:t>
      </w:r>
      <w:r w:rsidR="005F660A">
        <w:rPr>
          <w:rFonts w:ascii="Cambria" w:hAnsi="Cambria" w:cs="Times New Roman"/>
          <w:sz w:val="24"/>
          <w:szCs w:val="24"/>
          <w:lang w:val="en-GB"/>
        </w:rPr>
        <w:t>n</w:t>
      </w:r>
      <w:r w:rsidR="00266287" w:rsidRPr="00EB5213">
        <w:rPr>
          <w:rFonts w:ascii="Cambria" w:hAnsi="Cambria" w:cs="Times New Roman"/>
          <w:sz w:val="24"/>
          <w:szCs w:val="24"/>
          <w:lang w:val="en-GB"/>
        </w:rPr>
        <w:t xml:space="preserve">ce with </w:t>
      </w:r>
      <w:r w:rsidR="00AC7385" w:rsidRPr="00EB5213">
        <w:rPr>
          <w:rFonts w:ascii="Cambria" w:hAnsi="Cambria" w:cs="Times New Roman"/>
          <w:sz w:val="24"/>
          <w:szCs w:val="24"/>
          <w:lang w:val="en-GB"/>
        </w:rPr>
        <w:t xml:space="preserve">the </w:t>
      </w:r>
      <w:r w:rsidR="00266287" w:rsidRPr="00EB5213">
        <w:rPr>
          <w:rFonts w:ascii="Cambria" w:hAnsi="Cambria" w:cs="Times New Roman"/>
          <w:sz w:val="24"/>
          <w:szCs w:val="24"/>
          <w:lang w:val="en-GB"/>
        </w:rPr>
        <w:t xml:space="preserve">legal provisions. The </w:t>
      </w:r>
      <w:r w:rsidR="000E1C3D" w:rsidRPr="00EB5213">
        <w:rPr>
          <w:rFonts w:ascii="Cambria" w:hAnsi="Cambria" w:cs="Times New Roman"/>
          <w:sz w:val="24"/>
          <w:szCs w:val="24"/>
          <w:lang w:val="en-GB"/>
        </w:rPr>
        <w:t>proposition</w:t>
      </w:r>
      <w:r w:rsidR="00266287" w:rsidRPr="00EB5213">
        <w:rPr>
          <w:rFonts w:ascii="Cambria" w:hAnsi="Cambria" w:cs="Times New Roman"/>
          <w:sz w:val="24"/>
          <w:szCs w:val="24"/>
          <w:lang w:val="en-GB"/>
        </w:rPr>
        <w:t xml:space="preserve"> regarding the enrolment </w:t>
      </w:r>
      <w:r w:rsidR="00517EF6" w:rsidRPr="00EB5213">
        <w:rPr>
          <w:rFonts w:ascii="Cambria" w:hAnsi="Cambria" w:cs="Times New Roman"/>
          <w:sz w:val="24"/>
          <w:szCs w:val="24"/>
          <w:lang w:val="en-GB"/>
        </w:rPr>
        <w:t xml:space="preserve">of the applicant in </w:t>
      </w:r>
      <w:r w:rsidR="00360458" w:rsidRPr="00EB5213">
        <w:rPr>
          <w:rFonts w:ascii="Cambria" w:hAnsi="Cambria" w:cs="Times New Roman"/>
          <w:sz w:val="24"/>
          <w:szCs w:val="24"/>
          <w:lang w:val="en-GB"/>
        </w:rPr>
        <w:t xml:space="preserve">the proper study year of </w:t>
      </w:r>
      <w:r w:rsidR="00517EF6" w:rsidRPr="00EB5213">
        <w:rPr>
          <w:rFonts w:ascii="Cambria" w:hAnsi="Cambria" w:cs="Times New Roman"/>
          <w:sz w:val="24"/>
          <w:szCs w:val="24"/>
          <w:lang w:val="en-GB"/>
        </w:rPr>
        <w:t xml:space="preserve">the </w:t>
      </w:r>
      <w:r w:rsidR="00360458" w:rsidRPr="00EB5213">
        <w:rPr>
          <w:rFonts w:ascii="Cambria" w:hAnsi="Cambria" w:cs="Times New Roman"/>
          <w:sz w:val="24"/>
          <w:szCs w:val="24"/>
          <w:lang w:val="en-GB"/>
        </w:rPr>
        <w:t>next</w:t>
      </w:r>
      <w:r w:rsidR="000E1C3D" w:rsidRPr="00EB5213">
        <w:rPr>
          <w:rFonts w:ascii="Cambria" w:hAnsi="Cambria" w:cs="Times New Roman"/>
          <w:sz w:val="24"/>
          <w:szCs w:val="24"/>
          <w:lang w:val="en-GB"/>
        </w:rPr>
        <w:t xml:space="preserve"> school year</w:t>
      </w:r>
      <w:r w:rsidR="005F660A">
        <w:rPr>
          <w:rFonts w:ascii="Cambria" w:hAnsi="Cambria" w:cs="Times New Roman"/>
          <w:sz w:val="24"/>
          <w:szCs w:val="24"/>
          <w:lang w:val="en-GB"/>
        </w:rPr>
        <w:t xml:space="preserve"> is done af</w:t>
      </w:r>
      <w:r w:rsidR="000E1C3D" w:rsidRPr="00EB5213">
        <w:rPr>
          <w:rFonts w:ascii="Cambria" w:hAnsi="Cambria" w:cs="Times New Roman"/>
          <w:sz w:val="24"/>
          <w:szCs w:val="24"/>
          <w:lang w:val="en-GB"/>
        </w:rPr>
        <w:t xml:space="preserve">ter the assessment of </w:t>
      </w:r>
      <w:r w:rsidR="00B93F04" w:rsidRPr="00EB5213">
        <w:rPr>
          <w:rFonts w:ascii="Cambria" w:hAnsi="Cambria" w:cs="Times New Roman"/>
          <w:sz w:val="24"/>
          <w:szCs w:val="24"/>
          <w:lang w:val="en-GB"/>
        </w:rPr>
        <w:t xml:space="preserve">linguistic competence and the equivalence of studies. </w:t>
      </w:r>
    </w:p>
    <w:p w:rsidR="00B93F04" w:rsidRPr="00EB5213" w:rsidRDefault="000E62C2" w:rsidP="00B93F04">
      <w:pPr>
        <w:pStyle w:val="ListParagraph"/>
        <w:numPr>
          <w:ilvl w:val="0"/>
          <w:numId w:val="2"/>
        </w:numPr>
        <w:jc w:val="both"/>
        <w:rPr>
          <w:rFonts w:ascii="Cambria" w:hAnsi="Cambria" w:cs="Times New Roman"/>
          <w:sz w:val="24"/>
          <w:szCs w:val="24"/>
          <w:lang w:val="en-GB"/>
        </w:rPr>
      </w:pPr>
      <w:r w:rsidRPr="00EB5213">
        <w:rPr>
          <w:rFonts w:ascii="Cambria" w:hAnsi="Cambria" w:cs="Times New Roman"/>
          <w:sz w:val="24"/>
          <w:szCs w:val="24"/>
          <w:lang w:val="en-GB"/>
        </w:rPr>
        <w:t>In the case of pupils with no study documents, the decision up</w:t>
      </w:r>
      <w:r w:rsidR="006E7050" w:rsidRPr="00EB5213">
        <w:rPr>
          <w:rFonts w:ascii="Cambria" w:hAnsi="Cambria" w:cs="Times New Roman"/>
          <w:sz w:val="24"/>
          <w:szCs w:val="24"/>
          <w:lang w:val="en-GB"/>
        </w:rPr>
        <w:t>o</w:t>
      </w:r>
      <w:r w:rsidRPr="00EB5213">
        <w:rPr>
          <w:rFonts w:ascii="Cambria" w:hAnsi="Cambria" w:cs="Times New Roman"/>
          <w:sz w:val="24"/>
          <w:szCs w:val="24"/>
          <w:lang w:val="en-GB"/>
        </w:rPr>
        <w:t xml:space="preserve">n the study year in which </w:t>
      </w:r>
      <w:r w:rsidR="00421138" w:rsidRPr="00EB5213">
        <w:rPr>
          <w:rFonts w:ascii="Cambria" w:hAnsi="Cambria" w:cs="Times New Roman"/>
          <w:sz w:val="24"/>
          <w:szCs w:val="24"/>
          <w:lang w:val="en-GB"/>
        </w:rPr>
        <w:t>these pupils are</w:t>
      </w:r>
      <w:r w:rsidRPr="00EB5213">
        <w:rPr>
          <w:rFonts w:ascii="Cambria" w:hAnsi="Cambria" w:cs="Times New Roman"/>
          <w:sz w:val="24"/>
          <w:szCs w:val="24"/>
          <w:lang w:val="en-GB"/>
        </w:rPr>
        <w:t xml:space="preserve"> going to be enrolled </w:t>
      </w:r>
      <w:r w:rsidR="006E7050" w:rsidRPr="00EB5213">
        <w:rPr>
          <w:rFonts w:ascii="Cambria" w:hAnsi="Cambria" w:cs="Times New Roman"/>
          <w:sz w:val="24"/>
          <w:szCs w:val="24"/>
          <w:lang w:val="en-GB"/>
        </w:rPr>
        <w:t>is taken based on the stud</w:t>
      </w:r>
      <w:r w:rsidR="003638CE" w:rsidRPr="00EB5213">
        <w:rPr>
          <w:rFonts w:ascii="Cambria" w:hAnsi="Cambria" w:cs="Times New Roman"/>
          <w:sz w:val="24"/>
          <w:szCs w:val="24"/>
          <w:lang w:val="en-GB"/>
        </w:rPr>
        <w:t>ies declared, age, the result of</w:t>
      </w:r>
      <w:r w:rsidR="006E7050" w:rsidRPr="00EB5213">
        <w:rPr>
          <w:rFonts w:ascii="Cambria" w:hAnsi="Cambria" w:cs="Times New Roman"/>
          <w:sz w:val="24"/>
          <w:szCs w:val="24"/>
          <w:lang w:val="en-GB"/>
        </w:rPr>
        <w:t xml:space="preserve"> the </w:t>
      </w:r>
      <w:r w:rsidR="003638CE" w:rsidRPr="00EB5213">
        <w:rPr>
          <w:rFonts w:ascii="Cambria" w:hAnsi="Cambria" w:cs="Times New Roman"/>
          <w:sz w:val="24"/>
          <w:szCs w:val="24"/>
          <w:lang w:val="en-GB"/>
        </w:rPr>
        <w:t xml:space="preserve">Romanian language competence assessment and the result of an additional test </w:t>
      </w:r>
      <w:r w:rsidR="009E71C1" w:rsidRPr="00EB5213">
        <w:rPr>
          <w:rFonts w:ascii="Cambria" w:hAnsi="Cambria" w:cs="Times New Roman"/>
          <w:sz w:val="24"/>
          <w:szCs w:val="24"/>
          <w:lang w:val="en-GB"/>
        </w:rPr>
        <w:t xml:space="preserve">in mathematics. </w:t>
      </w:r>
      <w:r w:rsidR="00421138" w:rsidRPr="00EB5213">
        <w:rPr>
          <w:rFonts w:ascii="Cambria" w:hAnsi="Cambria" w:cs="Times New Roman"/>
          <w:sz w:val="24"/>
          <w:szCs w:val="24"/>
          <w:lang w:val="en-GB"/>
        </w:rPr>
        <w:t>The final decision is take</w:t>
      </w:r>
      <w:r w:rsidR="005F660A">
        <w:rPr>
          <w:rFonts w:ascii="Cambria" w:hAnsi="Cambria" w:cs="Times New Roman"/>
          <w:sz w:val="24"/>
          <w:szCs w:val="24"/>
          <w:lang w:val="en-GB"/>
        </w:rPr>
        <w:t>n</w:t>
      </w:r>
      <w:r w:rsidR="00421138" w:rsidRPr="00EB5213">
        <w:rPr>
          <w:rFonts w:ascii="Cambria" w:hAnsi="Cambria" w:cs="Times New Roman"/>
          <w:sz w:val="24"/>
          <w:szCs w:val="24"/>
          <w:lang w:val="en-GB"/>
        </w:rPr>
        <w:t xml:space="preserve"> based on the recommendation of the evaluation commission and after the </w:t>
      </w:r>
      <w:r w:rsidR="00FF28AD" w:rsidRPr="00EB5213">
        <w:rPr>
          <w:rFonts w:ascii="Cambria" w:hAnsi="Cambria" w:cs="Times New Roman"/>
          <w:sz w:val="24"/>
          <w:szCs w:val="24"/>
          <w:lang w:val="en-GB"/>
        </w:rPr>
        <w:t xml:space="preserve">consent expressed by the parents or the legal </w:t>
      </w:r>
      <w:r w:rsidR="00391206" w:rsidRPr="00EB5213">
        <w:rPr>
          <w:rFonts w:ascii="Cambria" w:hAnsi="Cambria" w:cs="Times New Roman"/>
          <w:sz w:val="24"/>
          <w:szCs w:val="24"/>
          <w:lang w:val="en-GB"/>
        </w:rPr>
        <w:t xml:space="preserve">guardian of the respective pupil. </w:t>
      </w:r>
    </w:p>
    <w:p w:rsidR="00C648B4" w:rsidRPr="00EB5213" w:rsidRDefault="00391206" w:rsidP="0069080A">
      <w:pPr>
        <w:pStyle w:val="ListParagraph"/>
        <w:numPr>
          <w:ilvl w:val="0"/>
          <w:numId w:val="2"/>
        </w:numPr>
        <w:spacing w:after="120"/>
        <w:jc w:val="both"/>
        <w:rPr>
          <w:rFonts w:ascii="Cambria" w:hAnsi="Cambria" w:cs="Times New Roman"/>
          <w:sz w:val="24"/>
          <w:szCs w:val="24"/>
          <w:lang w:val="en-GB"/>
        </w:rPr>
      </w:pPr>
      <w:r w:rsidRPr="00EB5213">
        <w:rPr>
          <w:rFonts w:ascii="Cambria" w:hAnsi="Cambria" w:cs="Times New Roman"/>
          <w:sz w:val="24"/>
          <w:szCs w:val="24"/>
          <w:lang w:val="en-GB"/>
        </w:rPr>
        <w:t>There is no methodology for the equivalence of</w:t>
      </w:r>
      <w:r w:rsidR="00BE75B6" w:rsidRPr="00EB5213">
        <w:rPr>
          <w:rFonts w:ascii="Cambria" w:hAnsi="Cambria" w:cs="Times New Roman"/>
          <w:sz w:val="24"/>
          <w:szCs w:val="24"/>
          <w:lang w:val="en-GB"/>
        </w:rPr>
        <w:t xml:space="preserve"> higher education studies for the cases where study documents cannot be</w:t>
      </w:r>
      <w:r w:rsidR="005F660A">
        <w:rPr>
          <w:rFonts w:ascii="Cambria" w:hAnsi="Cambria" w:cs="Times New Roman"/>
          <w:sz w:val="24"/>
          <w:szCs w:val="24"/>
          <w:lang w:val="en-GB"/>
        </w:rPr>
        <w:t xml:space="preserve"> </w:t>
      </w:r>
      <w:r w:rsidR="00BE75B6" w:rsidRPr="00EB5213">
        <w:rPr>
          <w:rFonts w:ascii="Cambria" w:hAnsi="Cambria" w:cs="Times New Roman"/>
          <w:sz w:val="24"/>
          <w:szCs w:val="24"/>
          <w:lang w:val="en-GB"/>
        </w:rPr>
        <w:t xml:space="preserve">provided / do not exist. </w:t>
      </w:r>
    </w:p>
    <w:p w:rsidR="00C648B4" w:rsidRPr="00EB5213" w:rsidRDefault="00C648B4" w:rsidP="0069080A">
      <w:pPr>
        <w:spacing w:after="120"/>
        <w:jc w:val="both"/>
        <w:rPr>
          <w:rFonts w:ascii="Cambria" w:hAnsi="Cambria" w:cs="Times New Roman"/>
          <w:b/>
          <w:sz w:val="24"/>
          <w:szCs w:val="24"/>
          <w:lang w:val="en-GB"/>
        </w:rPr>
      </w:pPr>
    </w:p>
    <w:p w:rsidR="003E5041" w:rsidRPr="00EB5213" w:rsidRDefault="003E5041" w:rsidP="0069080A">
      <w:pPr>
        <w:spacing w:after="120"/>
        <w:jc w:val="both"/>
        <w:rPr>
          <w:rFonts w:ascii="Cambria" w:hAnsi="Cambria" w:cs="Times New Roman"/>
          <w:b/>
          <w:sz w:val="24"/>
          <w:szCs w:val="24"/>
          <w:lang w:val="en-GB"/>
        </w:rPr>
      </w:pPr>
      <w:r w:rsidRPr="00EB5213">
        <w:rPr>
          <w:rFonts w:ascii="Cambria" w:hAnsi="Cambria" w:cs="Times New Roman"/>
          <w:b/>
          <w:sz w:val="24"/>
          <w:szCs w:val="24"/>
          <w:lang w:val="en-GB"/>
        </w:rPr>
        <w:t>The recognition of professional competences</w:t>
      </w:r>
    </w:p>
    <w:p w:rsidR="00D72DCE" w:rsidRPr="00EB5213" w:rsidRDefault="005F660A" w:rsidP="00246B66">
      <w:pPr>
        <w:pStyle w:val="ListParagraph"/>
        <w:ind w:left="0"/>
        <w:jc w:val="both"/>
        <w:rPr>
          <w:rFonts w:ascii="Cambria" w:hAnsi="Cambria" w:cs="Times New Roman"/>
          <w:sz w:val="24"/>
          <w:szCs w:val="24"/>
          <w:lang w:val="en-GB"/>
        </w:rPr>
      </w:pPr>
      <w:r>
        <w:rPr>
          <w:rFonts w:ascii="Cambria" w:hAnsi="Cambria" w:cs="Times New Roman"/>
          <w:sz w:val="24"/>
          <w:szCs w:val="24"/>
          <w:lang w:val="en-GB"/>
        </w:rPr>
        <w:t>In order to have th</w:t>
      </w:r>
      <w:r w:rsidR="009E0E79" w:rsidRPr="00EB5213">
        <w:rPr>
          <w:rFonts w:ascii="Cambria" w:hAnsi="Cambria" w:cs="Times New Roman"/>
          <w:sz w:val="24"/>
          <w:szCs w:val="24"/>
          <w:lang w:val="en-GB"/>
        </w:rPr>
        <w:t>e</w:t>
      </w:r>
      <w:r>
        <w:rPr>
          <w:rFonts w:ascii="Cambria" w:hAnsi="Cambria" w:cs="Times New Roman"/>
          <w:sz w:val="24"/>
          <w:szCs w:val="24"/>
          <w:lang w:val="en-GB"/>
        </w:rPr>
        <w:t>i</w:t>
      </w:r>
      <w:r w:rsidR="009E0E79" w:rsidRPr="00EB5213">
        <w:rPr>
          <w:rFonts w:ascii="Cambria" w:hAnsi="Cambria" w:cs="Times New Roman"/>
          <w:sz w:val="24"/>
          <w:szCs w:val="24"/>
          <w:lang w:val="en-GB"/>
        </w:rPr>
        <w:t>r professional competences recognized, the f</w:t>
      </w:r>
      <w:r w:rsidR="00D72DCE" w:rsidRPr="00EB5213">
        <w:rPr>
          <w:rFonts w:ascii="Cambria" w:hAnsi="Cambria" w:cs="Times New Roman"/>
          <w:sz w:val="24"/>
          <w:szCs w:val="24"/>
          <w:lang w:val="en-GB"/>
        </w:rPr>
        <w:t>or</w:t>
      </w:r>
      <w:r>
        <w:rPr>
          <w:rFonts w:ascii="Cambria" w:hAnsi="Cambria" w:cs="Times New Roman"/>
          <w:sz w:val="24"/>
          <w:szCs w:val="24"/>
          <w:lang w:val="en-GB"/>
        </w:rPr>
        <w:t>ei</w:t>
      </w:r>
      <w:r w:rsidR="009E0E79" w:rsidRPr="00EB5213">
        <w:rPr>
          <w:rFonts w:ascii="Cambria" w:hAnsi="Cambria" w:cs="Times New Roman"/>
          <w:sz w:val="24"/>
          <w:szCs w:val="24"/>
          <w:lang w:val="en-GB"/>
        </w:rPr>
        <w:t xml:space="preserve">gn citizens who obtained a form of protection in Romania </w:t>
      </w:r>
      <w:r w:rsidR="00691329" w:rsidRPr="00EB5213">
        <w:rPr>
          <w:rFonts w:ascii="Cambria" w:hAnsi="Cambria" w:cs="Times New Roman"/>
          <w:sz w:val="24"/>
          <w:szCs w:val="24"/>
          <w:lang w:val="en-GB"/>
        </w:rPr>
        <w:t xml:space="preserve">and who cannot provide </w:t>
      </w:r>
      <w:r w:rsidR="00470930" w:rsidRPr="00EB5213">
        <w:rPr>
          <w:rFonts w:ascii="Cambria" w:hAnsi="Cambria" w:cs="Times New Roman"/>
          <w:sz w:val="24"/>
          <w:szCs w:val="24"/>
          <w:lang w:val="en-GB"/>
        </w:rPr>
        <w:t>profes</w:t>
      </w:r>
      <w:r w:rsidR="00FD7049" w:rsidRPr="00EB5213">
        <w:rPr>
          <w:rFonts w:ascii="Cambria" w:hAnsi="Cambria" w:cs="Times New Roman"/>
          <w:sz w:val="24"/>
          <w:szCs w:val="24"/>
          <w:lang w:val="en-GB"/>
        </w:rPr>
        <w:t>s</w:t>
      </w:r>
      <w:r w:rsidR="00157D9A">
        <w:rPr>
          <w:rFonts w:ascii="Cambria" w:hAnsi="Cambria" w:cs="Times New Roman"/>
          <w:sz w:val="24"/>
          <w:szCs w:val="24"/>
          <w:lang w:val="en-GB"/>
        </w:rPr>
        <w:t xml:space="preserve">ional </w:t>
      </w:r>
      <w:r w:rsidR="00F9678F">
        <w:rPr>
          <w:rFonts w:ascii="Cambria" w:hAnsi="Cambria" w:cs="Times New Roman"/>
          <w:sz w:val="24"/>
          <w:szCs w:val="24"/>
          <w:lang w:val="en-GB"/>
        </w:rPr>
        <w:t>certificates</w:t>
      </w:r>
      <w:r w:rsidR="00FD7049" w:rsidRPr="00EB5213">
        <w:rPr>
          <w:rFonts w:ascii="Cambria" w:hAnsi="Cambria" w:cs="Times New Roman"/>
          <w:sz w:val="24"/>
          <w:szCs w:val="24"/>
          <w:lang w:val="en-GB"/>
        </w:rPr>
        <w:t xml:space="preserve"> can follow the same certification procedures as those used for the </w:t>
      </w:r>
      <w:r w:rsidR="00CC7DAD" w:rsidRPr="00EB5213">
        <w:rPr>
          <w:rFonts w:ascii="Cambria" w:hAnsi="Cambria" w:cs="Times New Roman"/>
          <w:sz w:val="24"/>
          <w:szCs w:val="24"/>
          <w:lang w:val="en-GB"/>
        </w:rPr>
        <w:t xml:space="preserve">attestation of professional competences / qualifications gained in non-formal and informal contexts, </w:t>
      </w:r>
      <w:r w:rsidR="002D034C" w:rsidRPr="00EB5213">
        <w:rPr>
          <w:rFonts w:ascii="Cambria" w:hAnsi="Cambria" w:cs="Times New Roman"/>
          <w:sz w:val="24"/>
          <w:szCs w:val="24"/>
          <w:lang w:val="en-GB"/>
        </w:rPr>
        <w:t>applicable for the Romanian citizens.</w:t>
      </w:r>
      <w:r w:rsidR="00D72DCE" w:rsidRPr="00EB5213">
        <w:rPr>
          <w:rFonts w:ascii="Cambria" w:hAnsi="Cambria" w:cs="Times New Roman"/>
          <w:sz w:val="24"/>
          <w:szCs w:val="24"/>
          <w:lang w:val="en-GB"/>
        </w:rPr>
        <w:t xml:space="preserve"> </w:t>
      </w:r>
    </w:p>
    <w:p w:rsidR="004A2065" w:rsidRPr="00EB5213" w:rsidRDefault="00A36542" w:rsidP="006C33AD">
      <w:pPr>
        <w:pStyle w:val="ListParagraph"/>
        <w:spacing w:after="200"/>
        <w:ind w:left="0"/>
        <w:jc w:val="both"/>
        <w:rPr>
          <w:rFonts w:ascii="Cambria" w:hAnsi="Cambria" w:cs="Times New Roman"/>
          <w:sz w:val="24"/>
          <w:szCs w:val="24"/>
          <w:lang w:val="en-GB"/>
        </w:rPr>
      </w:pPr>
      <w:r w:rsidRPr="00EB5213">
        <w:rPr>
          <w:rFonts w:ascii="Cambria" w:eastAsia="SimSun" w:hAnsi="Cambria" w:cs="Times New Roman"/>
          <w:sz w:val="24"/>
          <w:szCs w:val="24"/>
          <w:lang w:val="en-GB"/>
        </w:rPr>
        <w:t>Therefor</w:t>
      </w:r>
      <w:r w:rsidR="005F660A">
        <w:rPr>
          <w:rFonts w:ascii="Cambria" w:eastAsia="SimSun" w:hAnsi="Cambria" w:cs="Times New Roman"/>
          <w:sz w:val="24"/>
          <w:szCs w:val="24"/>
          <w:lang w:val="en-GB"/>
        </w:rPr>
        <w:t>e</w:t>
      </w:r>
      <w:r w:rsidRPr="00EB5213">
        <w:rPr>
          <w:rFonts w:ascii="Cambria" w:eastAsia="SimSun" w:hAnsi="Cambria" w:cs="Times New Roman"/>
          <w:sz w:val="24"/>
          <w:szCs w:val="24"/>
          <w:lang w:val="en-GB"/>
        </w:rPr>
        <w:t>,</w:t>
      </w:r>
      <w:r w:rsidR="004A2065" w:rsidRPr="00EB5213">
        <w:rPr>
          <w:rFonts w:ascii="Cambria" w:eastAsia="SimSun" w:hAnsi="Cambria" w:cs="Times New Roman"/>
          <w:sz w:val="24"/>
          <w:szCs w:val="24"/>
          <w:lang w:val="en-GB"/>
        </w:rPr>
        <w:t xml:space="preserve"> the </w:t>
      </w:r>
      <w:r w:rsidR="0056746C" w:rsidRPr="00EB5213">
        <w:rPr>
          <w:rFonts w:ascii="Cambria" w:eastAsia="SimSun" w:hAnsi="Cambria" w:cs="Times New Roman"/>
          <w:sz w:val="24"/>
          <w:szCs w:val="24"/>
          <w:lang w:val="en-GB"/>
        </w:rPr>
        <w:t xml:space="preserve">persons in this situation can refer to the </w:t>
      </w:r>
      <w:r w:rsidR="005F660A" w:rsidRPr="00EB5213">
        <w:rPr>
          <w:rFonts w:ascii="Cambria" w:eastAsia="SimSun" w:hAnsi="Cambria" w:cs="Times New Roman"/>
          <w:sz w:val="24"/>
          <w:szCs w:val="24"/>
          <w:lang w:val="en-GB"/>
        </w:rPr>
        <w:t>Centres</w:t>
      </w:r>
      <w:r w:rsidR="0056746C" w:rsidRPr="00EB5213">
        <w:rPr>
          <w:rFonts w:ascii="Cambria" w:eastAsia="SimSun" w:hAnsi="Cambria" w:cs="Times New Roman"/>
          <w:sz w:val="24"/>
          <w:szCs w:val="24"/>
          <w:lang w:val="en-GB"/>
        </w:rPr>
        <w:t xml:space="preserve"> for the evaluation and certification of </w:t>
      </w:r>
      <w:r w:rsidRPr="00EB5213">
        <w:rPr>
          <w:rFonts w:ascii="Cambria" w:eastAsia="SimSun" w:hAnsi="Cambria" w:cs="Times New Roman"/>
          <w:sz w:val="24"/>
          <w:szCs w:val="24"/>
          <w:lang w:val="en-GB"/>
        </w:rPr>
        <w:t>professional competences authorized in</w:t>
      </w:r>
      <w:r w:rsidR="00A9136E" w:rsidRPr="00EB5213">
        <w:rPr>
          <w:rFonts w:ascii="Cambria" w:eastAsia="SimSun" w:hAnsi="Cambria" w:cs="Times New Roman"/>
          <w:sz w:val="24"/>
          <w:szCs w:val="24"/>
          <w:lang w:val="en-GB"/>
        </w:rPr>
        <w:t xml:space="preserve"> </w:t>
      </w:r>
      <w:r w:rsidRPr="00EB5213">
        <w:rPr>
          <w:rFonts w:ascii="Cambria" w:eastAsia="SimSun" w:hAnsi="Cambria" w:cs="Times New Roman"/>
          <w:sz w:val="24"/>
          <w:szCs w:val="24"/>
          <w:lang w:val="en-GB"/>
        </w:rPr>
        <w:t xml:space="preserve">this respect by the </w:t>
      </w:r>
      <w:r w:rsidR="00A9136E" w:rsidRPr="00EB5213">
        <w:rPr>
          <w:rFonts w:ascii="Cambria" w:eastAsia="SimSun" w:hAnsi="Cambria" w:cs="Times New Roman"/>
          <w:sz w:val="24"/>
          <w:szCs w:val="24"/>
          <w:lang w:val="en-GB"/>
        </w:rPr>
        <w:t xml:space="preserve">National </w:t>
      </w:r>
      <w:r w:rsidR="00F51270" w:rsidRPr="00EB5213">
        <w:rPr>
          <w:rFonts w:ascii="Cambria" w:eastAsia="SimSun" w:hAnsi="Cambria" w:cs="Times New Roman"/>
          <w:sz w:val="24"/>
          <w:szCs w:val="24"/>
          <w:lang w:val="en-GB"/>
        </w:rPr>
        <w:t>Qualifications Authority</w:t>
      </w:r>
      <w:r w:rsidR="00A9136E" w:rsidRPr="00EB5213">
        <w:rPr>
          <w:rFonts w:ascii="Cambria" w:eastAsia="SimSun" w:hAnsi="Cambria" w:cs="Times New Roman"/>
          <w:sz w:val="24"/>
          <w:szCs w:val="24"/>
          <w:lang w:val="en-GB"/>
        </w:rPr>
        <w:t xml:space="preserve">. </w:t>
      </w:r>
      <w:r w:rsidR="00F51270" w:rsidRPr="00EB5213">
        <w:rPr>
          <w:rFonts w:ascii="Cambria" w:eastAsia="SimSun" w:hAnsi="Cambria" w:cs="Times New Roman"/>
          <w:sz w:val="24"/>
          <w:szCs w:val="24"/>
          <w:lang w:val="en-GB"/>
        </w:rPr>
        <w:t xml:space="preserve">Depending on the competences proven, the </w:t>
      </w:r>
      <w:r w:rsidR="00F6360A" w:rsidRPr="00EB5213">
        <w:rPr>
          <w:rFonts w:ascii="Cambria" w:eastAsia="SimSun" w:hAnsi="Cambria" w:cs="Times New Roman"/>
          <w:sz w:val="24"/>
          <w:szCs w:val="24"/>
          <w:lang w:val="en-GB"/>
        </w:rPr>
        <w:t xml:space="preserve">respective </w:t>
      </w:r>
      <w:r w:rsidR="005F660A" w:rsidRPr="00EB5213">
        <w:rPr>
          <w:rFonts w:ascii="Cambria" w:eastAsia="SimSun" w:hAnsi="Cambria" w:cs="Times New Roman"/>
          <w:sz w:val="24"/>
          <w:szCs w:val="24"/>
          <w:lang w:val="en-GB"/>
        </w:rPr>
        <w:t>centres</w:t>
      </w:r>
      <w:r w:rsidR="00F6360A" w:rsidRPr="00EB5213">
        <w:rPr>
          <w:rFonts w:ascii="Cambria" w:eastAsia="SimSun" w:hAnsi="Cambria" w:cs="Times New Roman"/>
          <w:sz w:val="24"/>
          <w:szCs w:val="24"/>
          <w:lang w:val="en-GB"/>
        </w:rPr>
        <w:t xml:space="preserve"> can issue </w:t>
      </w:r>
      <w:r w:rsidR="00D72EDA" w:rsidRPr="00EB5213">
        <w:rPr>
          <w:rFonts w:ascii="Cambria" w:eastAsia="SimSun" w:hAnsi="Cambria" w:cs="Times New Roman"/>
          <w:sz w:val="24"/>
          <w:szCs w:val="24"/>
          <w:lang w:val="en-GB"/>
        </w:rPr>
        <w:t xml:space="preserve">either </w:t>
      </w:r>
      <w:r w:rsidR="005F660A">
        <w:rPr>
          <w:rFonts w:ascii="Cambria" w:eastAsia="SimSun" w:hAnsi="Cambria" w:cs="Times New Roman"/>
          <w:i/>
          <w:sz w:val="24"/>
          <w:szCs w:val="24"/>
          <w:lang w:val="en-GB"/>
        </w:rPr>
        <w:t>certificates of qualification</w:t>
      </w:r>
      <w:r w:rsidR="00F6360A" w:rsidRPr="00EB5213">
        <w:rPr>
          <w:rFonts w:ascii="Cambria" w:eastAsia="SimSun" w:hAnsi="Cambria" w:cs="Times New Roman"/>
          <w:sz w:val="24"/>
          <w:szCs w:val="24"/>
          <w:lang w:val="en-GB"/>
        </w:rPr>
        <w:t xml:space="preserve"> for the candidates declared competent </w:t>
      </w:r>
      <w:r w:rsidR="00F9678F">
        <w:rPr>
          <w:rFonts w:ascii="Cambria" w:eastAsia="SimSun" w:hAnsi="Cambria" w:cs="Times New Roman"/>
          <w:sz w:val="24"/>
          <w:szCs w:val="24"/>
          <w:lang w:val="en-GB"/>
        </w:rPr>
        <w:t>for</w:t>
      </w:r>
      <w:r w:rsidR="00F6360A" w:rsidRPr="00EB5213">
        <w:rPr>
          <w:rFonts w:ascii="Cambria" w:eastAsia="SimSun" w:hAnsi="Cambria" w:cs="Times New Roman"/>
          <w:sz w:val="24"/>
          <w:szCs w:val="24"/>
          <w:lang w:val="en-GB"/>
        </w:rPr>
        <w:t xml:space="preserve"> all the competences associated </w:t>
      </w:r>
      <w:r w:rsidR="00152ADF">
        <w:rPr>
          <w:rFonts w:ascii="Cambria" w:eastAsia="SimSun" w:hAnsi="Cambria" w:cs="Times New Roman"/>
          <w:sz w:val="24"/>
          <w:szCs w:val="24"/>
          <w:lang w:val="en-GB"/>
        </w:rPr>
        <w:t>with</w:t>
      </w:r>
      <w:r w:rsidR="00F6360A" w:rsidRPr="00EB5213">
        <w:rPr>
          <w:rFonts w:ascii="Cambria" w:eastAsia="SimSun" w:hAnsi="Cambria" w:cs="Times New Roman"/>
          <w:sz w:val="24"/>
          <w:szCs w:val="24"/>
          <w:lang w:val="en-GB"/>
        </w:rPr>
        <w:t xml:space="preserve"> a </w:t>
      </w:r>
      <w:r w:rsidR="00492ACD">
        <w:rPr>
          <w:rFonts w:ascii="Cambria" w:eastAsia="SimSun" w:hAnsi="Cambria" w:cs="Times New Roman"/>
          <w:sz w:val="24"/>
          <w:szCs w:val="24"/>
          <w:lang w:val="en-GB"/>
        </w:rPr>
        <w:t xml:space="preserve">certain </w:t>
      </w:r>
      <w:r w:rsidR="00F6360A" w:rsidRPr="00EB5213">
        <w:rPr>
          <w:rFonts w:ascii="Cambria" w:eastAsia="SimSun" w:hAnsi="Cambria" w:cs="Times New Roman"/>
          <w:sz w:val="24"/>
          <w:szCs w:val="24"/>
          <w:lang w:val="en-GB"/>
        </w:rPr>
        <w:t xml:space="preserve">qualification or </w:t>
      </w:r>
      <w:r w:rsidR="00D72EDA" w:rsidRPr="00EB5213">
        <w:rPr>
          <w:rFonts w:ascii="Cambria" w:eastAsia="SimSun" w:hAnsi="Cambria" w:cs="Times New Roman"/>
          <w:sz w:val="24"/>
          <w:szCs w:val="24"/>
          <w:lang w:val="en-GB"/>
        </w:rPr>
        <w:t xml:space="preserve">occupation, or </w:t>
      </w:r>
      <w:r w:rsidR="00D72EDA" w:rsidRPr="00EB5213">
        <w:rPr>
          <w:rFonts w:ascii="Cambria" w:eastAsia="SimSun" w:hAnsi="Cambria" w:cs="Times New Roman"/>
          <w:i/>
          <w:sz w:val="24"/>
          <w:szCs w:val="24"/>
          <w:lang w:val="en-GB"/>
        </w:rPr>
        <w:t>certificates for professional competences</w:t>
      </w:r>
      <w:r w:rsidR="00D72EDA" w:rsidRPr="00EB5213">
        <w:rPr>
          <w:rFonts w:ascii="Cambria" w:eastAsia="SimSun" w:hAnsi="Cambria" w:cs="Times New Roman"/>
          <w:sz w:val="24"/>
          <w:szCs w:val="24"/>
          <w:lang w:val="en-GB"/>
        </w:rPr>
        <w:t xml:space="preserve"> for the candidates competent </w:t>
      </w:r>
      <w:r w:rsidR="00F9678F">
        <w:rPr>
          <w:rFonts w:ascii="Cambria" w:eastAsia="SimSun" w:hAnsi="Cambria" w:cs="Times New Roman"/>
          <w:sz w:val="24"/>
          <w:szCs w:val="24"/>
          <w:lang w:val="en-GB"/>
        </w:rPr>
        <w:t>for</w:t>
      </w:r>
      <w:r w:rsidR="00D72EDA" w:rsidRPr="00EB5213">
        <w:rPr>
          <w:rFonts w:ascii="Cambria" w:eastAsia="SimSun" w:hAnsi="Cambria" w:cs="Times New Roman"/>
          <w:sz w:val="24"/>
          <w:szCs w:val="24"/>
          <w:lang w:val="en-GB"/>
        </w:rPr>
        <w:t xml:space="preserve"> one or more </w:t>
      </w:r>
      <w:r w:rsidR="004857B7" w:rsidRPr="00EB5213">
        <w:rPr>
          <w:rFonts w:ascii="Cambria" w:eastAsia="SimSun" w:hAnsi="Cambria" w:cs="Times New Roman"/>
          <w:sz w:val="24"/>
          <w:szCs w:val="24"/>
          <w:lang w:val="en-GB"/>
        </w:rPr>
        <w:t xml:space="preserve">competences associated </w:t>
      </w:r>
      <w:r w:rsidR="00152ADF">
        <w:rPr>
          <w:rFonts w:ascii="Cambria" w:eastAsia="SimSun" w:hAnsi="Cambria" w:cs="Times New Roman"/>
          <w:sz w:val="24"/>
          <w:szCs w:val="24"/>
          <w:lang w:val="en-GB"/>
        </w:rPr>
        <w:t>with</w:t>
      </w:r>
      <w:r w:rsidR="004857B7" w:rsidRPr="00EB5213">
        <w:rPr>
          <w:rFonts w:ascii="Cambria" w:eastAsia="SimSun" w:hAnsi="Cambria" w:cs="Times New Roman"/>
          <w:sz w:val="24"/>
          <w:szCs w:val="24"/>
          <w:lang w:val="en-GB"/>
        </w:rPr>
        <w:t xml:space="preserve"> a</w:t>
      </w:r>
      <w:r w:rsidR="00492ACD">
        <w:rPr>
          <w:rFonts w:ascii="Cambria" w:eastAsia="SimSun" w:hAnsi="Cambria" w:cs="Times New Roman"/>
          <w:sz w:val="24"/>
          <w:szCs w:val="24"/>
          <w:lang w:val="en-GB"/>
        </w:rPr>
        <w:t xml:space="preserve"> certain</w:t>
      </w:r>
      <w:r w:rsidR="004857B7" w:rsidRPr="00EB5213">
        <w:rPr>
          <w:rFonts w:ascii="Cambria" w:eastAsia="SimSun" w:hAnsi="Cambria" w:cs="Times New Roman"/>
          <w:sz w:val="24"/>
          <w:szCs w:val="24"/>
          <w:lang w:val="en-GB"/>
        </w:rPr>
        <w:t xml:space="preserve"> qualification or occupation.</w:t>
      </w:r>
    </w:p>
    <w:p w:rsidR="004857B7" w:rsidRPr="00EB5213" w:rsidRDefault="00290ACC" w:rsidP="006C33AD">
      <w:pPr>
        <w:spacing w:after="120"/>
        <w:jc w:val="both"/>
        <w:rPr>
          <w:rFonts w:ascii="Cambria" w:hAnsi="Cambria"/>
          <w:b/>
          <w:sz w:val="24"/>
          <w:lang w:val="en-GB"/>
        </w:rPr>
      </w:pPr>
      <w:r w:rsidRPr="00EB5213">
        <w:rPr>
          <w:rFonts w:ascii="Cambria" w:hAnsi="Cambria"/>
          <w:b/>
          <w:sz w:val="24"/>
          <w:lang w:val="en-GB"/>
        </w:rPr>
        <w:t xml:space="preserve">4. </w:t>
      </w:r>
      <w:r w:rsidR="004857B7" w:rsidRPr="00EB5213">
        <w:rPr>
          <w:rFonts w:ascii="Cambria" w:hAnsi="Cambria"/>
          <w:b/>
          <w:sz w:val="24"/>
          <w:lang w:val="en-GB"/>
        </w:rPr>
        <w:t>The granting of scholarships and other facilities</w:t>
      </w:r>
    </w:p>
    <w:p w:rsidR="004857B7" w:rsidRPr="00EB5213" w:rsidRDefault="004857B7" w:rsidP="006C33AD">
      <w:pPr>
        <w:spacing w:after="60"/>
        <w:jc w:val="both"/>
        <w:rPr>
          <w:rFonts w:ascii="Cambria" w:hAnsi="Cambria"/>
          <w:sz w:val="24"/>
          <w:lang w:val="en-GB"/>
        </w:rPr>
      </w:pPr>
      <w:r w:rsidRPr="00EB5213">
        <w:rPr>
          <w:rFonts w:ascii="Cambria" w:hAnsi="Cambria"/>
          <w:sz w:val="24"/>
          <w:lang w:val="en-GB"/>
        </w:rPr>
        <w:t xml:space="preserve">In 2017 Romania has offered scholarships to 16 refugee children from Syria, who have obtained a form of protection in </w:t>
      </w:r>
      <w:r w:rsidR="005F660A">
        <w:rPr>
          <w:rFonts w:ascii="Cambria" w:hAnsi="Cambria"/>
          <w:sz w:val="24"/>
          <w:lang w:val="en-GB"/>
        </w:rPr>
        <w:t xml:space="preserve">our </w:t>
      </w:r>
      <w:r w:rsidRPr="00EB5213">
        <w:rPr>
          <w:rFonts w:ascii="Cambria" w:hAnsi="Cambria"/>
          <w:sz w:val="24"/>
          <w:lang w:val="en-GB"/>
        </w:rPr>
        <w:t xml:space="preserve">country and who have been enrolled in the </w:t>
      </w:r>
      <w:r w:rsidR="005F660A" w:rsidRPr="00EB5213">
        <w:rPr>
          <w:rFonts w:ascii="Cambria" w:hAnsi="Cambria"/>
          <w:sz w:val="24"/>
          <w:lang w:val="en-GB"/>
        </w:rPr>
        <w:t>Romanian</w:t>
      </w:r>
      <w:r w:rsidRPr="00EB5213">
        <w:rPr>
          <w:rFonts w:ascii="Cambria" w:hAnsi="Cambria"/>
          <w:sz w:val="24"/>
          <w:lang w:val="en-GB"/>
        </w:rPr>
        <w:t xml:space="preserve"> educational system beginning with the sch</w:t>
      </w:r>
      <w:r w:rsidR="00A32CB6" w:rsidRPr="00EB5213">
        <w:rPr>
          <w:rFonts w:ascii="Cambria" w:hAnsi="Cambria"/>
          <w:sz w:val="24"/>
          <w:lang w:val="en-GB"/>
        </w:rPr>
        <w:t xml:space="preserve">ool year 2016-2017. </w:t>
      </w:r>
    </w:p>
    <w:p w:rsidR="00EE242F" w:rsidRPr="00EB5213" w:rsidRDefault="00671B23" w:rsidP="00181033">
      <w:pPr>
        <w:spacing w:after="60"/>
        <w:jc w:val="both"/>
        <w:rPr>
          <w:rFonts w:ascii="Cambria" w:hAnsi="Cambria"/>
          <w:sz w:val="24"/>
          <w:lang w:val="en-GB"/>
        </w:rPr>
      </w:pPr>
      <w:r w:rsidRPr="00EB5213">
        <w:rPr>
          <w:rFonts w:ascii="Cambria" w:hAnsi="Cambria"/>
          <w:sz w:val="24"/>
          <w:lang w:val="en-GB"/>
        </w:rPr>
        <w:t xml:space="preserve">Also, in order to facilitate the access to higher education, the Romanian State offered scholarships for 12 refugee students from Syria and </w:t>
      </w:r>
      <w:r w:rsidR="00CA1DC7" w:rsidRPr="00EB5213">
        <w:rPr>
          <w:rFonts w:ascii="Cambria" w:hAnsi="Cambria"/>
          <w:sz w:val="24"/>
          <w:lang w:val="en-GB"/>
        </w:rPr>
        <w:t>Iraq</w:t>
      </w:r>
      <w:r w:rsidRPr="00EB5213">
        <w:rPr>
          <w:rFonts w:ascii="Cambria" w:hAnsi="Cambria"/>
          <w:sz w:val="24"/>
          <w:lang w:val="en-GB"/>
        </w:rPr>
        <w:t xml:space="preserve">, who benefitted of a form of protection in </w:t>
      </w:r>
      <w:r w:rsidR="00181033" w:rsidRPr="00EB5213">
        <w:rPr>
          <w:rFonts w:ascii="Cambria" w:hAnsi="Cambria"/>
          <w:sz w:val="24"/>
          <w:lang w:val="en-GB"/>
        </w:rPr>
        <w:t>o</w:t>
      </w:r>
      <w:r w:rsidRPr="00EB5213">
        <w:rPr>
          <w:rFonts w:ascii="Cambria" w:hAnsi="Cambria"/>
          <w:sz w:val="24"/>
          <w:lang w:val="en-GB"/>
        </w:rPr>
        <w:t>u</w:t>
      </w:r>
      <w:r w:rsidR="00181033" w:rsidRPr="00EB5213">
        <w:rPr>
          <w:rFonts w:ascii="Cambria" w:hAnsi="Cambria"/>
          <w:sz w:val="24"/>
          <w:lang w:val="en-GB"/>
        </w:rPr>
        <w:t>r</w:t>
      </w:r>
      <w:r w:rsidRPr="00EB5213">
        <w:rPr>
          <w:rFonts w:ascii="Cambria" w:hAnsi="Cambria"/>
          <w:sz w:val="24"/>
          <w:lang w:val="en-GB"/>
        </w:rPr>
        <w:t xml:space="preserve"> country, </w:t>
      </w:r>
      <w:r w:rsidR="0024470B" w:rsidRPr="00EB5213">
        <w:rPr>
          <w:rFonts w:ascii="Cambria" w:hAnsi="Cambria"/>
          <w:sz w:val="24"/>
          <w:lang w:val="en-GB"/>
        </w:rPr>
        <w:t xml:space="preserve">during the attendance of the Romanian language preparatory year </w:t>
      </w:r>
      <w:r w:rsidR="00181033" w:rsidRPr="00EB5213">
        <w:rPr>
          <w:rFonts w:ascii="Cambria" w:hAnsi="Cambria"/>
          <w:sz w:val="24"/>
          <w:lang w:val="en-GB"/>
        </w:rPr>
        <w:t>of</w:t>
      </w:r>
      <w:r w:rsidR="0024470B" w:rsidRPr="00EB5213">
        <w:rPr>
          <w:rFonts w:ascii="Cambria" w:hAnsi="Cambria"/>
          <w:sz w:val="24"/>
          <w:lang w:val="en-GB"/>
        </w:rPr>
        <w:t xml:space="preserve"> the academic year 2016-2017.</w:t>
      </w:r>
    </w:p>
    <w:p w:rsidR="002066D7" w:rsidRPr="00EB5213" w:rsidRDefault="002066D7" w:rsidP="00246B66">
      <w:pPr>
        <w:jc w:val="both"/>
        <w:rPr>
          <w:rFonts w:ascii="Cambria" w:hAnsi="Cambria"/>
          <w:sz w:val="24"/>
          <w:lang w:val="en-GB"/>
        </w:rPr>
      </w:pPr>
      <w:r w:rsidRPr="00EB5213">
        <w:rPr>
          <w:rFonts w:ascii="Cambria" w:hAnsi="Cambria"/>
          <w:sz w:val="24"/>
          <w:lang w:val="en-GB"/>
        </w:rPr>
        <w:t xml:space="preserve">In </w:t>
      </w:r>
      <w:r w:rsidR="00CA1DC7">
        <w:rPr>
          <w:rFonts w:ascii="Cambria" w:hAnsi="Cambria"/>
          <w:sz w:val="24"/>
          <w:lang w:val="en-GB"/>
        </w:rPr>
        <w:t>addition to</w:t>
      </w:r>
      <w:r w:rsidRPr="00EB5213">
        <w:rPr>
          <w:rFonts w:ascii="Cambria" w:hAnsi="Cambria"/>
          <w:sz w:val="24"/>
          <w:lang w:val="en-GB"/>
        </w:rPr>
        <w:t xml:space="preserve"> </w:t>
      </w:r>
      <w:r w:rsidR="00CA1DC7" w:rsidRPr="00EB5213">
        <w:rPr>
          <w:rFonts w:ascii="Cambria" w:hAnsi="Cambria"/>
          <w:sz w:val="24"/>
          <w:lang w:val="en-GB"/>
        </w:rPr>
        <w:t>these</w:t>
      </w:r>
      <w:r w:rsidR="00181033" w:rsidRPr="00EB5213">
        <w:rPr>
          <w:rFonts w:ascii="Cambria" w:hAnsi="Cambria"/>
          <w:sz w:val="24"/>
          <w:lang w:val="en-GB"/>
        </w:rPr>
        <w:t xml:space="preserve"> means of support, Syrian and </w:t>
      </w:r>
      <w:r w:rsidR="00CA1DC7" w:rsidRPr="00EB5213">
        <w:rPr>
          <w:rFonts w:ascii="Cambria" w:hAnsi="Cambria"/>
          <w:sz w:val="24"/>
          <w:lang w:val="en-GB"/>
        </w:rPr>
        <w:t>Ira</w:t>
      </w:r>
      <w:r w:rsidR="00CA1DC7">
        <w:rPr>
          <w:rFonts w:ascii="Cambria" w:hAnsi="Cambria"/>
          <w:sz w:val="24"/>
          <w:lang w:val="en-GB"/>
        </w:rPr>
        <w:t>q</w:t>
      </w:r>
      <w:r w:rsidR="00CA1DC7" w:rsidRPr="00EB5213">
        <w:rPr>
          <w:rFonts w:ascii="Cambria" w:hAnsi="Cambria"/>
          <w:sz w:val="24"/>
          <w:lang w:val="en-GB"/>
        </w:rPr>
        <w:t>i</w:t>
      </w:r>
      <w:r w:rsidR="00181033" w:rsidRPr="00EB5213">
        <w:rPr>
          <w:rFonts w:ascii="Cambria" w:hAnsi="Cambria"/>
          <w:sz w:val="24"/>
          <w:lang w:val="en-GB"/>
        </w:rPr>
        <w:t xml:space="preserve"> citizens can benefit from scholarships and other facilities offered unilaterally by the Romanian State.</w:t>
      </w:r>
    </w:p>
    <w:p w:rsidR="00181033" w:rsidRPr="00EB5213" w:rsidRDefault="0015621A" w:rsidP="00246B66">
      <w:pPr>
        <w:jc w:val="both"/>
        <w:rPr>
          <w:rFonts w:ascii="Cambria" w:hAnsi="Cambria"/>
          <w:sz w:val="24"/>
          <w:lang w:val="en-GB"/>
        </w:rPr>
      </w:pPr>
      <w:r w:rsidRPr="00EB5213">
        <w:rPr>
          <w:rFonts w:ascii="Cambria" w:hAnsi="Cambria"/>
          <w:sz w:val="24"/>
          <w:lang w:val="en-GB"/>
        </w:rPr>
        <w:t>We include below a table regarding the expenses incurred by the support o</w:t>
      </w:r>
      <w:r w:rsidR="00071D37">
        <w:rPr>
          <w:rFonts w:ascii="Cambria" w:hAnsi="Cambria"/>
          <w:sz w:val="24"/>
          <w:lang w:val="en-GB"/>
        </w:rPr>
        <w:t>ffered</w:t>
      </w:r>
      <w:r w:rsidRPr="00EB5213">
        <w:rPr>
          <w:rFonts w:ascii="Cambria" w:hAnsi="Cambria"/>
          <w:sz w:val="24"/>
          <w:lang w:val="en-GB"/>
        </w:rPr>
        <w:t xml:space="preserve"> to the Syrian and Ira</w:t>
      </w:r>
      <w:r w:rsidR="00CA1DC7">
        <w:rPr>
          <w:rFonts w:ascii="Cambria" w:hAnsi="Cambria"/>
          <w:sz w:val="24"/>
          <w:lang w:val="en-GB"/>
        </w:rPr>
        <w:t>q</w:t>
      </w:r>
      <w:r w:rsidRPr="00EB5213">
        <w:rPr>
          <w:rFonts w:ascii="Cambria" w:hAnsi="Cambria"/>
          <w:sz w:val="24"/>
          <w:lang w:val="en-GB"/>
        </w:rPr>
        <w:t xml:space="preserve"> nationals by the Rom</w:t>
      </w:r>
      <w:r w:rsidR="00CA1DC7">
        <w:rPr>
          <w:rFonts w:ascii="Cambria" w:hAnsi="Cambria"/>
          <w:sz w:val="24"/>
          <w:lang w:val="en-GB"/>
        </w:rPr>
        <w:t>a</w:t>
      </w:r>
      <w:r w:rsidRPr="00EB5213">
        <w:rPr>
          <w:rFonts w:ascii="Cambria" w:hAnsi="Cambria"/>
          <w:sz w:val="24"/>
          <w:lang w:val="en-GB"/>
        </w:rPr>
        <w:t xml:space="preserve">nian State. 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1"/>
        <w:gridCol w:w="6343"/>
        <w:gridCol w:w="374"/>
        <w:gridCol w:w="1784"/>
      </w:tblGrid>
      <w:tr w:rsidR="00CC1708" w:rsidRPr="00EB5213" w:rsidTr="00B60900">
        <w:trPr>
          <w:trHeight w:val="470"/>
        </w:trPr>
        <w:tc>
          <w:tcPr>
            <w:tcW w:w="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C1708" w:rsidRPr="00EB5213" w:rsidRDefault="00D73B1D" w:rsidP="00D73B1D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lang w:val="en-GB"/>
              </w:rPr>
              <w:t>No</w:t>
            </w:r>
          </w:p>
        </w:tc>
        <w:tc>
          <w:tcPr>
            <w:tcW w:w="67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1708" w:rsidRPr="00EB5213" w:rsidRDefault="00CC1708" w:rsidP="000D78B8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  <w:lang w:val="en-GB"/>
              </w:rPr>
            </w:pPr>
            <w:r w:rsidRPr="00EB5213">
              <w:rPr>
                <w:rFonts w:ascii="Cambria" w:hAnsi="Cambria" w:cs="Arial"/>
                <w:b/>
                <w:color w:val="000000"/>
                <w:sz w:val="20"/>
                <w:szCs w:val="20"/>
                <w:lang w:val="en-GB"/>
              </w:rPr>
              <w:t xml:space="preserve">Romanian contribution for Iraq and Syria in 2017 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1708" w:rsidRPr="00EB5213" w:rsidRDefault="002E550E" w:rsidP="002E5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  <w:lang w:val="en-GB"/>
              </w:rPr>
            </w:pPr>
            <w:r w:rsidRPr="00EB5213">
              <w:rPr>
                <w:rFonts w:ascii="Cambria" w:hAnsi="Cambria" w:cs="Arial"/>
                <w:color w:val="000000"/>
                <w:sz w:val="20"/>
                <w:szCs w:val="20"/>
                <w:lang w:val="en-GB"/>
              </w:rPr>
              <w:t>Currancy: Romanian Leu</w:t>
            </w:r>
            <w:r w:rsidR="000D78B8" w:rsidRPr="00EB5213">
              <w:rPr>
                <w:rFonts w:ascii="Cambria" w:hAnsi="Cambria" w:cs="Arial"/>
                <w:color w:val="000000"/>
                <w:sz w:val="20"/>
                <w:szCs w:val="20"/>
                <w:lang w:val="en-GB"/>
              </w:rPr>
              <w:t xml:space="preserve"> (RON)</w:t>
            </w:r>
          </w:p>
        </w:tc>
      </w:tr>
      <w:tr w:rsidR="00CC1708" w:rsidRPr="00EB5213" w:rsidTr="00B60900">
        <w:trPr>
          <w:trHeight w:val="247"/>
        </w:trPr>
        <w:tc>
          <w:tcPr>
            <w:tcW w:w="52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1708" w:rsidRPr="00EB5213" w:rsidRDefault="00CC1708" w:rsidP="00B60900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GB"/>
              </w:rPr>
            </w:pPr>
            <w:r w:rsidRPr="00EB5213">
              <w:rPr>
                <w:rFonts w:ascii="Cambria" w:hAnsi="Cambria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67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1708" w:rsidRPr="00EB5213" w:rsidRDefault="00CC1708" w:rsidP="00B6090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EB5213">
              <w:rPr>
                <w:rFonts w:ascii="Cambria" w:hAnsi="Cambria" w:cs="Arial"/>
                <w:sz w:val="20"/>
                <w:szCs w:val="20"/>
                <w:lang w:val="en-GB"/>
              </w:rPr>
              <w:t>Higher education scholarships and other facilities offered to Iraq</w:t>
            </w:r>
          </w:p>
        </w:tc>
        <w:tc>
          <w:tcPr>
            <w:tcW w:w="178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1708" w:rsidRPr="00EB5213" w:rsidRDefault="00CC1708" w:rsidP="0052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EB5213">
              <w:rPr>
                <w:rFonts w:ascii="Cambria" w:hAnsi="Cambria" w:cs="Arial"/>
                <w:sz w:val="20"/>
                <w:szCs w:val="20"/>
                <w:lang w:val="en-GB"/>
              </w:rPr>
              <w:t>325.399,00</w:t>
            </w:r>
          </w:p>
        </w:tc>
      </w:tr>
      <w:tr w:rsidR="00CC1708" w:rsidRPr="00EB5213" w:rsidTr="00B60900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1708" w:rsidRPr="00EB5213" w:rsidRDefault="00CC1708" w:rsidP="00B60900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GB"/>
              </w:rPr>
            </w:pPr>
            <w:r w:rsidRPr="00EB5213">
              <w:rPr>
                <w:rFonts w:ascii="Cambria" w:hAnsi="Cambria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6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1708" w:rsidRPr="00EB5213" w:rsidRDefault="00CC1708" w:rsidP="00B6090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EB5213">
              <w:rPr>
                <w:rFonts w:ascii="Cambria" w:hAnsi="Cambria" w:cs="Arial"/>
                <w:sz w:val="20"/>
                <w:szCs w:val="20"/>
                <w:lang w:val="en-GB"/>
              </w:rPr>
              <w:t>Higher education scholarships and other facilities offered to Syria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1708" w:rsidRPr="00EB5213" w:rsidRDefault="00CC1708" w:rsidP="0052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EB5213">
              <w:rPr>
                <w:rFonts w:ascii="Cambria" w:hAnsi="Cambria" w:cs="Arial"/>
                <w:sz w:val="20"/>
                <w:szCs w:val="20"/>
                <w:lang w:val="en-GB"/>
              </w:rPr>
              <w:t>1.869.538,00</w:t>
            </w:r>
          </w:p>
        </w:tc>
      </w:tr>
      <w:tr w:rsidR="00CC1708" w:rsidRPr="00EB5213" w:rsidTr="00CE38BA">
        <w:trPr>
          <w:trHeight w:val="742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1708" w:rsidRPr="00EB5213" w:rsidRDefault="00CC1708" w:rsidP="00B60900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GB"/>
              </w:rPr>
            </w:pPr>
            <w:r w:rsidRPr="00EB5213">
              <w:rPr>
                <w:rFonts w:ascii="Cambria" w:hAnsi="Cambria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6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1708" w:rsidRPr="00EB5213" w:rsidRDefault="00CC1708" w:rsidP="00B6090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EB5213">
              <w:rPr>
                <w:rFonts w:ascii="Cambria" w:hAnsi="Cambria" w:cs="Arial"/>
                <w:sz w:val="20"/>
                <w:szCs w:val="20"/>
                <w:lang w:val="en-GB"/>
              </w:rPr>
              <w:t xml:space="preserve">Scholarships for 16 refugee children ( from Syria) who receive some form of protection in Romania and entered the educational system in the school year 2016 -2017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C1708" w:rsidRPr="00EB5213" w:rsidRDefault="00CC1708" w:rsidP="0052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EB5213">
              <w:rPr>
                <w:rFonts w:ascii="Cambria" w:hAnsi="Cambria" w:cs="Arial"/>
                <w:sz w:val="20"/>
                <w:szCs w:val="20"/>
                <w:lang w:val="en-GB"/>
              </w:rPr>
              <w:t>255.801,00</w:t>
            </w:r>
          </w:p>
        </w:tc>
      </w:tr>
      <w:tr w:rsidR="00CC1708" w:rsidRPr="00EB5213" w:rsidTr="00CE38BA">
        <w:trPr>
          <w:trHeight w:val="989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C1708" w:rsidRPr="00EB5213" w:rsidRDefault="00CC1708" w:rsidP="00B60900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GB"/>
              </w:rPr>
            </w:pPr>
            <w:r w:rsidRPr="00EB5213">
              <w:rPr>
                <w:rFonts w:ascii="Cambria" w:hAnsi="Cambria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67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C1708" w:rsidRPr="00EB5213" w:rsidRDefault="00CC1708" w:rsidP="00B60900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EB5213">
              <w:rPr>
                <w:rFonts w:ascii="Cambria" w:hAnsi="Cambria" w:cs="Arial"/>
                <w:sz w:val="20"/>
                <w:szCs w:val="20"/>
                <w:lang w:val="en-GB"/>
              </w:rPr>
              <w:t xml:space="preserve">Scholarships for 12 refugee students (from Syria and Iraq) who receive some form of protection in Romania and entered the higher educational system_ Preparatory year for Romanian language in the university year 2016 - 2017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C1708" w:rsidRPr="00EB5213" w:rsidRDefault="00CC1708" w:rsidP="0052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0"/>
                <w:szCs w:val="20"/>
                <w:lang w:val="en-GB"/>
              </w:rPr>
            </w:pPr>
            <w:r w:rsidRPr="00EB5213">
              <w:rPr>
                <w:rFonts w:ascii="Cambria" w:hAnsi="Cambria" w:cs="Arial"/>
                <w:sz w:val="20"/>
                <w:szCs w:val="20"/>
                <w:lang w:val="en-GB"/>
              </w:rPr>
              <w:t>84.966,70</w:t>
            </w:r>
          </w:p>
        </w:tc>
      </w:tr>
      <w:tr w:rsidR="00CC1708" w:rsidRPr="00EB5213" w:rsidTr="00CE38BA">
        <w:trPr>
          <w:trHeight w:val="262"/>
        </w:trPr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CC1708" w:rsidRPr="00EB5213" w:rsidRDefault="00CC1708" w:rsidP="00B60900">
            <w:pPr>
              <w:autoSpaceDE w:val="0"/>
              <w:autoSpaceDN w:val="0"/>
              <w:adjustRightInd w:val="0"/>
              <w:spacing w:before="40" w:after="40" w:line="24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7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C1708" w:rsidRPr="00EB5213" w:rsidRDefault="00CC1708" w:rsidP="00CE38BA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GB"/>
              </w:rPr>
            </w:pPr>
            <w:r w:rsidRPr="00EB5213">
              <w:rPr>
                <w:rFonts w:ascii="Cambria" w:hAnsi="Cambria" w:cs="Arial"/>
                <w:color w:val="000000"/>
                <w:sz w:val="20"/>
                <w:szCs w:val="20"/>
                <w:lang w:val="en-GB"/>
              </w:rPr>
              <w:t xml:space="preserve">Total 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</w:tcPr>
          <w:p w:rsidR="00CC1708" w:rsidRPr="00EB5213" w:rsidRDefault="00CC1708" w:rsidP="00520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GB"/>
              </w:rPr>
            </w:pPr>
            <w:r w:rsidRPr="00EB5213">
              <w:rPr>
                <w:rFonts w:ascii="Cambria" w:hAnsi="Cambria" w:cs="Arial"/>
                <w:color w:val="000000"/>
                <w:sz w:val="20"/>
                <w:szCs w:val="20"/>
                <w:lang w:val="en-GB"/>
              </w:rPr>
              <w:t>2.535.704,70</w:t>
            </w:r>
            <w:r w:rsidR="00CE38BA" w:rsidRPr="00EB5213">
              <w:rPr>
                <w:rFonts w:ascii="Cambria" w:hAnsi="Cambria" w:cs="Arial"/>
                <w:color w:val="000000"/>
                <w:sz w:val="20"/>
                <w:szCs w:val="20"/>
                <w:lang w:val="en-GB"/>
              </w:rPr>
              <w:t xml:space="preserve"> ron </w:t>
            </w:r>
          </w:p>
        </w:tc>
      </w:tr>
      <w:tr w:rsidR="005C64CB" w:rsidRPr="00EB5213" w:rsidTr="003B5A47">
        <w:trPr>
          <w:trHeight w:val="247"/>
        </w:trPr>
        <w:tc>
          <w:tcPr>
            <w:tcW w:w="521" w:type="dxa"/>
            <w:shd w:val="clear" w:color="auto" w:fill="auto"/>
          </w:tcPr>
          <w:p w:rsidR="005C64CB" w:rsidRPr="00EB5213" w:rsidRDefault="005C64CB" w:rsidP="00520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1" w:type="dxa"/>
            <w:gridSpan w:val="3"/>
            <w:shd w:val="clear" w:color="auto" w:fill="auto"/>
          </w:tcPr>
          <w:p w:rsidR="005C64CB" w:rsidRPr="00EB5213" w:rsidRDefault="007E342C" w:rsidP="007E34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GB"/>
              </w:rPr>
            </w:pPr>
            <w:r w:rsidRPr="00EB5213">
              <w:rPr>
                <w:rFonts w:ascii="Cambria" w:hAnsi="Cambria" w:cs="Arial"/>
                <w:color w:val="000000"/>
                <w:sz w:val="20"/>
                <w:szCs w:val="20"/>
                <w:lang w:val="en-GB"/>
              </w:rPr>
              <w:t xml:space="preserve">Average exchange rate for 2017                              </w:t>
            </w:r>
            <w:r w:rsidR="005C64CB" w:rsidRPr="00EB5213">
              <w:rPr>
                <w:rFonts w:ascii="Cambria" w:hAnsi="Cambria" w:cs="Arial"/>
                <w:color w:val="000000"/>
                <w:sz w:val="20"/>
                <w:szCs w:val="20"/>
                <w:lang w:val="en-GB"/>
              </w:rPr>
              <w:t xml:space="preserve">                                                                1 euro = 4,568 ron</w:t>
            </w:r>
          </w:p>
        </w:tc>
      </w:tr>
      <w:tr w:rsidR="00CE38BA" w:rsidRPr="00EB5213" w:rsidTr="003B5A47">
        <w:trPr>
          <w:trHeight w:val="247"/>
        </w:trPr>
        <w:tc>
          <w:tcPr>
            <w:tcW w:w="521" w:type="dxa"/>
            <w:shd w:val="clear" w:color="auto" w:fill="auto"/>
          </w:tcPr>
          <w:p w:rsidR="00CE38BA" w:rsidRPr="00EB5213" w:rsidRDefault="00CE38BA" w:rsidP="00520E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343" w:type="dxa"/>
            <w:shd w:val="clear" w:color="auto" w:fill="auto"/>
          </w:tcPr>
          <w:p w:rsidR="00CE38BA" w:rsidRPr="00EB5213" w:rsidRDefault="00CE38BA" w:rsidP="0052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GB"/>
              </w:rPr>
            </w:pPr>
            <w:r w:rsidRPr="00EB5213">
              <w:rPr>
                <w:rFonts w:ascii="Cambria" w:hAnsi="Cambria" w:cs="Arial"/>
                <w:color w:val="000000"/>
                <w:sz w:val="20"/>
                <w:szCs w:val="20"/>
                <w:lang w:val="en-GB"/>
              </w:rPr>
              <w:t>Euro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CE38BA" w:rsidRPr="00EB5213" w:rsidRDefault="003B5A47" w:rsidP="00520EF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GB"/>
              </w:rPr>
            </w:pPr>
            <w:r w:rsidRPr="00EB5213">
              <w:rPr>
                <w:rFonts w:ascii="Cambria" w:hAnsi="Cambria" w:cs="Arial"/>
                <w:color w:val="000000"/>
                <w:sz w:val="20"/>
                <w:szCs w:val="20"/>
                <w:lang w:val="en-GB"/>
              </w:rPr>
              <w:t xml:space="preserve">     </w:t>
            </w:r>
            <w:r w:rsidR="0058156B" w:rsidRPr="00EB5213">
              <w:rPr>
                <w:rFonts w:ascii="Cambria" w:hAnsi="Cambria" w:cs="Arial"/>
                <w:color w:val="000000"/>
                <w:sz w:val="20"/>
                <w:szCs w:val="20"/>
                <w:lang w:val="en-GB"/>
              </w:rPr>
              <w:t>approx</w:t>
            </w:r>
            <w:r w:rsidR="00CE38BA" w:rsidRPr="00EB5213">
              <w:rPr>
                <w:rFonts w:ascii="Cambria" w:hAnsi="Cambria" w:cs="Arial"/>
                <w:color w:val="000000"/>
                <w:sz w:val="20"/>
                <w:szCs w:val="20"/>
                <w:lang w:val="en-GB"/>
              </w:rPr>
              <w:t>. 555100 euro</w:t>
            </w:r>
          </w:p>
        </w:tc>
      </w:tr>
    </w:tbl>
    <w:p w:rsidR="00CC1708" w:rsidRPr="00EB5213" w:rsidRDefault="00CC1708">
      <w:pPr>
        <w:rPr>
          <w:rFonts w:ascii="Cambria" w:hAnsi="Cambria"/>
          <w:sz w:val="24"/>
          <w:lang w:val="en-GB"/>
        </w:rPr>
      </w:pPr>
    </w:p>
    <w:p w:rsidR="00CA51B5" w:rsidRPr="00EB5213" w:rsidRDefault="00CA51B5">
      <w:pPr>
        <w:rPr>
          <w:rFonts w:ascii="Cambria" w:hAnsi="Cambria"/>
          <w:sz w:val="24"/>
          <w:lang w:val="en-GB"/>
        </w:rPr>
      </w:pPr>
    </w:p>
    <w:sectPr w:rsidR="00CA51B5" w:rsidRPr="00EB521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1A" w:rsidRDefault="00C8141A" w:rsidP="00834539">
      <w:pPr>
        <w:spacing w:after="0" w:line="240" w:lineRule="auto"/>
      </w:pPr>
      <w:r>
        <w:separator/>
      </w:r>
    </w:p>
  </w:endnote>
  <w:endnote w:type="continuationSeparator" w:id="0">
    <w:p w:rsidR="00C8141A" w:rsidRDefault="00C8141A" w:rsidP="0083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336521"/>
      <w:docPartObj>
        <w:docPartGallery w:val="Page Numbers (Bottom of Page)"/>
        <w:docPartUnique/>
      </w:docPartObj>
    </w:sdtPr>
    <w:sdtEndPr/>
    <w:sdtContent>
      <w:p w:rsidR="00834539" w:rsidRDefault="0083453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41A">
          <w:rPr>
            <w:noProof/>
          </w:rPr>
          <w:t>1</w:t>
        </w:r>
        <w:r>
          <w:fldChar w:fldCharType="end"/>
        </w:r>
      </w:p>
    </w:sdtContent>
  </w:sdt>
  <w:p w:rsidR="00834539" w:rsidRDefault="008345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1A" w:rsidRDefault="00C8141A" w:rsidP="00834539">
      <w:pPr>
        <w:spacing w:after="0" w:line="240" w:lineRule="auto"/>
      </w:pPr>
      <w:r>
        <w:separator/>
      </w:r>
    </w:p>
  </w:footnote>
  <w:footnote w:type="continuationSeparator" w:id="0">
    <w:p w:rsidR="00C8141A" w:rsidRDefault="00C8141A" w:rsidP="00834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9EA"/>
    <w:multiLevelType w:val="hybridMultilevel"/>
    <w:tmpl w:val="0E424D36"/>
    <w:lvl w:ilvl="0" w:tplc="35489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13774"/>
    <w:multiLevelType w:val="hybridMultilevel"/>
    <w:tmpl w:val="6C207BAA"/>
    <w:lvl w:ilvl="0" w:tplc="4A74C0B4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C601D"/>
    <w:multiLevelType w:val="hybridMultilevel"/>
    <w:tmpl w:val="9620AE92"/>
    <w:lvl w:ilvl="0" w:tplc="176605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4C"/>
    <w:rsid w:val="000058CF"/>
    <w:rsid w:val="000149FF"/>
    <w:rsid w:val="00034C12"/>
    <w:rsid w:val="00071D37"/>
    <w:rsid w:val="00083332"/>
    <w:rsid w:val="00085F27"/>
    <w:rsid w:val="000C29E3"/>
    <w:rsid w:val="000D78B8"/>
    <w:rsid w:val="000E1C3D"/>
    <w:rsid w:val="000E62C2"/>
    <w:rsid w:val="000F47DF"/>
    <w:rsid w:val="00141678"/>
    <w:rsid w:val="00152ADF"/>
    <w:rsid w:val="0015621A"/>
    <w:rsid w:val="00157D9A"/>
    <w:rsid w:val="00160C12"/>
    <w:rsid w:val="00161228"/>
    <w:rsid w:val="001661B1"/>
    <w:rsid w:val="00181033"/>
    <w:rsid w:val="001B64B0"/>
    <w:rsid w:val="001D3CE1"/>
    <w:rsid w:val="001E3A36"/>
    <w:rsid w:val="002066D7"/>
    <w:rsid w:val="00212ED2"/>
    <w:rsid w:val="002170E7"/>
    <w:rsid w:val="002239A6"/>
    <w:rsid w:val="00241F46"/>
    <w:rsid w:val="0024470B"/>
    <w:rsid w:val="00246B66"/>
    <w:rsid w:val="00250296"/>
    <w:rsid w:val="00262707"/>
    <w:rsid w:val="00266287"/>
    <w:rsid w:val="00284ECE"/>
    <w:rsid w:val="00290ACC"/>
    <w:rsid w:val="00291604"/>
    <w:rsid w:val="002C6E4B"/>
    <w:rsid w:val="002D034C"/>
    <w:rsid w:val="002E550E"/>
    <w:rsid w:val="002E55EF"/>
    <w:rsid w:val="002E5AA5"/>
    <w:rsid w:val="002F0E1B"/>
    <w:rsid w:val="002F1CDF"/>
    <w:rsid w:val="00303338"/>
    <w:rsid w:val="00310671"/>
    <w:rsid w:val="0033203B"/>
    <w:rsid w:val="00360458"/>
    <w:rsid w:val="003638CE"/>
    <w:rsid w:val="00391206"/>
    <w:rsid w:val="003A5DEE"/>
    <w:rsid w:val="003B315F"/>
    <w:rsid w:val="003B5A47"/>
    <w:rsid w:val="003E5041"/>
    <w:rsid w:val="00400B8E"/>
    <w:rsid w:val="0040509B"/>
    <w:rsid w:val="004159B8"/>
    <w:rsid w:val="00421138"/>
    <w:rsid w:val="0042245C"/>
    <w:rsid w:val="00431DD0"/>
    <w:rsid w:val="0043410B"/>
    <w:rsid w:val="00455773"/>
    <w:rsid w:val="00464FFD"/>
    <w:rsid w:val="00470930"/>
    <w:rsid w:val="0047112A"/>
    <w:rsid w:val="0047124C"/>
    <w:rsid w:val="004857B7"/>
    <w:rsid w:val="00492ACD"/>
    <w:rsid w:val="00496D33"/>
    <w:rsid w:val="004A2065"/>
    <w:rsid w:val="004A40D7"/>
    <w:rsid w:val="004D0BD2"/>
    <w:rsid w:val="004D60E8"/>
    <w:rsid w:val="004E331D"/>
    <w:rsid w:val="004E7F69"/>
    <w:rsid w:val="004F472B"/>
    <w:rsid w:val="004F652C"/>
    <w:rsid w:val="00513422"/>
    <w:rsid w:val="00514315"/>
    <w:rsid w:val="00517EF6"/>
    <w:rsid w:val="00547566"/>
    <w:rsid w:val="005513F8"/>
    <w:rsid w:val="0056746C"/>
    <w:rsid w:val="00567C43"/>
    <w:rsid w:val="0058156B"/>
    <w:rsid w:val="005904D6"/>
    <w:rsid w:val="005A518A"/>
    <w:rsid w:val="005C5248"/>
    <w:rsid w:val="005C64CB"/>
    <w:rsid w:val="005D0DEA"/>
    <w:rsid w:val="005F2B2F"/>
    <w:rsid w:val="005F660A"/>
    <w:rsid w:val="00606F7B"/>
    <w:rsid w:val="00636BCE"/>
    <w:rsid w:val="0065535B"/>
    <w:rsid w:val="00671B23"/>
    <w:rsid w:val="0069080A"/>
    <w:rsid w:val="00691329"/>
    <w:rsid w:val="00696D84"/>
    <w:rsid w:val="006C33AD"/>
    <w:rsid w:val="006D36EB"/>
    <w:rsid w:val="006E7050"/>
    <w:rsid w:val="006F2643"/>
    <w:rsid w:val="00702AE7"/>
    <w:rsid w:val="00715B39"/>
    <w:rsid w:val="007211C9"/>
    <w:rsid w:val="00722E3A"/>
    <w:rsid w:val="00722EC1"/>
    <w:rsid w:val="00755F8E"/>
    <w:rsid w:val="00770F77"/>
    <w:rsid w:val="00774550"/>
    <w:rsid w:val="00774ADC"/>
    <w:rsid w:val="007805B7"/>
    <w:rsid w:val="007832D1"/>
    <w:rsid w:val="007963A4"/>
    <w:rsid w:val="007D38EF"/>
    <w:rsid w:val="007E342C"/>
    <w:rsid w:val="007E4274"/>
    <w:rsid w:val="007E5590"/>
    <w:rsid w:val="007E7689"/>
    <w:rsid w:val="007E7A33"/>
    <w:rsid w:val="00831745"/>
    <w:rsid w:val="00831A78"/>
    <w:rsid w:val="00834539"/>
    <w:rsid w:val="00837303"/>
    <w:rsid w:val="00837F98"/>
    <w:rsid w:val="008436EF"/>
    <w:rsid w:val="0084651C"/>
    <w:rsid w:val="008878A3"/>
    <w:rsid w:val="008A4429"/>
    <w:rsid w:val="008B0BF5"/>
    <w:rsid w:val="008E11A5"/>
    <w:rsid w:val="008F2FEB"/>
    <w:rsid w:val="008F733C"/>
    <w:rsid w:val="00901F4C"/>
    <w:rsid w:val="009077AC"/>
    <w:rsid w:val="009120EB"/>
    <w:rsid w:val="009218DE"/>
    <w:rsid w:val="00956D25"/>
    <w:rsid w:val="00981519"/>
    <w:rsid w:val="00981948"/>
    <w:rsid w:val="00993B6A"/>
    <w:rsid w:val="00996B0D"/>
    <w:rsid w:val="009A21CE"/>
    <w:rsid w:val="009B0343"/>
    <w:rsid w:val="009E0E79"/>
    <w:rsid w:val="009E71C1"/>
    <w:rsid w:val="00A052B9"/>
    <w:rsid w:val="00A32CB6"/>
    <w:rsid w:val="00A36542"/>
    <w:rsid w:val="00A4425F"/>
    <w:rsid w:val="00A9134D"/>
    <w:rsid w:val="00A9136E"/>
    <w:rsid w:val="00A94DA5"/>
    <w:rsid w:val="00AA28BF"/>
    <w:rsid w:val="00AB1D45"/>
    <w:rsid w:val="00AB61AF"/>
    <w:rsid w:val="00AB6296"/>
    <w:rsid w:val="00AC00F6"/>
    <w:rsid w:val="00AC7385"/>
    <w:rsid w:val="00AD033D"/>
    <w:rsid w:val="00AD4271"/>
    <w:rsid w:val="00AD6575"/>
    <w:rsid w:val="00AF08FF"/>
    <w:rsid w:val="00B13DA8"/>
    <w:rsid w:val="00B4692A"/>
    <w:rsid w:val="00B50F66"/>
    <w:rsid w:val="00B50FA3"/>
    <w:rsid w:val="00B60900"/>
    <w:rsid w:val="00B6724E"/>
    <w:rsid w:val="00B735D8"/>
    <w:rsid w:val="00B77B0F"/>
    <w:rsid w:val="00B91638"/>
    <w:rsid w:val="00B9252D"/>
    <w:rsid w:val="00B93F04"/>
    <w:rsid w:val="00BA05D4"/>
    <w:rsid w:val="00BA7C61"/>
    <w:rsid w:val="00BB4257"/>
    <w:rsid w:val="00BE75B6"/>
    <w:rsid w:val="00C06C6E"/>
    <w:rsid w:val="00C2111F"/>
    <w:rsid w:val="00C252CC"/>
    <w:rsid w:val="00C362E8"/>
    <w:rsid w:val="00C648B4"/>
    <w:rsid w:val="00C8141A"/>
    <w:rsid w:val="00C905B6"/>
    <w:rsid w:val="00CA1DC7"/>
    <w:rsid w:val="00CA51B5"/>
    <w:rsid w:val="00CA6CDD"/>
    <w:rsid w:val="00CC1708"/>
    <w:rsid w:val="00CC6341"/>
    <w:rsid w:val="00CC7DAD"/>
    <w:rsid w:val="00CE38BA"/>
    <w:rsid w:val="00CE3A48"/>
    <w:rsid w:val="00CF1C11"/>
    <w:rsid w:val="00CF1C45"/>
    <w:rsid w:val="00D141A6"/>
    <w:rsid w:val="00D164F5"/>
    <w:rsid w:val="00D16634"/>
    <w:rsid w:val="00D26D9B"/>
    <w:rsid w:val="00D32BBA"/>
    <w:rsid w:val="00D54C5B"/>
    <w:rsid w:val="00D666C0"/>
    <w:rsid w:val="00D72DCE"/>
    <w:rsid w:val="00D72EDA"/>
    <w:rsid w:val="00D73B1D"/>
    <w:rsid w:val="00D912C2"/>
    <w:rsid w:val="00D95CC1"/>
    <w:rsid w:val="00DA7739"/>
    <w:rsid w:val="00DF2CD5"/>
    <w:rsid w:val="00E4132E"/>
    <w:rsid w:val="00E5692A"/>
    <w:rsid w:val="00E64CD2"/>
    <w:rsid w:val="00E6513D"/>
    <w:rsid w:val="00E70395"/>
    <w:rsid w:val="00E71FBC"/>
    <w:rsid w:val="00E72D32"/>
    <w:rsid w:val="00E779CC"/>
    <w:rsid w:val="00EA06A1"/>
    <w:rsid w:val="00EA6BBA"/>
    <w:rsid w:val="00EB5213"/>
    <w:rsid w:val="00EC204E"/>
    <w:rsid w:val="00EC2954"/>
    <w:rsid w:val="00EC6887"/>
    <w:rsid w:val="00ED4972"/>
    <w:rsid w:val="00EE242F"/>
    <w:rsid w:val="00F103A3"/>
    <w:rsid w:val="00F14BF6"/>
    <w:rsid w:val="00F51270"/>
    <w:rsid w:val="00F6360A"/>
    <w:rsid w:val="00F72563"/>
    <w:rsid w:val="00F80DFF"/>
    <w:rsid w:val="00F9678F"/>
    <w:rsid w:val="00FD7049"/>
    <w:rsid w:val="00FE70FB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8B4"/>
    <w:pPr>
      <w:spacing w:after="160" w:line="259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4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539"/>
  </w:style>
  <w:style w:type="paragraph" w:styleId="Footer">
    <w:name w:val="footer"/>
    <w:basedOn w:val="Normal"/>
    <w:link w:val="FooterChar"/>
    <w:uiPriority w:val="99"/>
    <w:unhideWhenUsed/>
    <w:rsid w:val="00834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539"/>
  </w:style>
  <w:style w:type="paragraph" w:styleId="BalloonText">
    <w:name w:val="Balloon Text"/>
    <w:basedOn w:val="Normal"/>
    <w:link w:val="BalloonTextChar"/>
    <w:uiPriority w:val="99"/>
    <w:semiHidden/>
    <w:unhideWhenUsed/>
    <w:rsid w:val="008B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8B4"/>
    <w:pPr>
      <w:spacing w:after="160" w:line="259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4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539"/>
  </w:style>
  <w:style w:type="paragraph" w:styleId="Footer">
    <w:name w:val="footer"/>
    <w:basedOn w:val="Normal"/>
    <w:link w:val="FooterChar"/>
    <w:uiPriority w:val="99"/>
    <w:unhideWhenUsed/>
    <w:rsid w:val="00834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539"/>
  </w:style>
  <w:style w:type="paragraph" w:styleId="BalloonText">
    <w:name w:val="Balloon Text"/>
    <w:basedOn w:val="Normal"/>
    <w:link w:val="BalloonTextChar"/>
    <w:uiPriority w:val="99"/>
    <w:semiHidden/>
    <w:unhideWhenUsed/>
    <w:rsid w:val="008B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1041</Words>
  <Characters>6044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Sandru</dc:creator>
  <cp:lastModifiedBy>Gabriela Tanjala</cp:lastModifiedBy>
  <cp:revision>2</cp:revision>
  <dcterms:created xsi:type="dcterms:W3CDTF">2018-03-30T12:40:00Z</dcterms:created>
  <dcterms:modified xsi:type="dcterms:W3CDTF">2018-03-30T12:40:00Z</dcterms:modified>
</cp:coreProperties>
</file>